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A3046" w14:textId="77777777" w:rsidR="009F584C" w:rsidRPr="00AD3643" w:rsidRDefault="009F584C" w:rsidP="00C95D06">
      <w:pPr>
        <w:spacing w:after="0"/>
        <w:jc w:val="both"/>
        <w:rPr>
          <w:rFonts w:ascii="Times New Roman" w:hAnsi="Times New Roman" w:cs="Times New Roman"/>
          <w:sz w:val="24"/>
          <w:szCs w:val="24"/>
        </w:rPr>
      </w:pPr>
    </w:p>
    <w:tbl>
      <w:tblPr>
        <w:tblpPr w:leftFromText="180" w:rightFromText="180" w:vertAnchor="text" w:horzAnchor="margin" w:tblpY="24"/>
        <w:tblW w:w="0" w:type="auto"/>
        <w:tblLook w:val="04A0" w:firstRow="1" w:lastRow="0" w:firstColumn="1" w:lastColumn="0" w:noHBand="0" w:noVBand="1"/>
      </w:tblPr>
      <w:tblGrid>
        <w:gridCol w:w="2122"/>
        <w:gridCol w:w="7233"/>
      </w:tblGrid>
      <w:tr w:rsidR="00324654" w:rsidRPr="003B4864" w14:paraId="47F8BEFD" w14:textId="77777777" w:rsidTr="00D7187E">
        <w:trPr>
          <w:trHeight w:val="1666"/>
        </w:trPr>
        <w:tc>
          <w:tcPr>
            <w:tcW w:w="2122" w:type="dxa"/>
            <w:hideMark/>
          </w:tcPr>
          <w:p w14:paraId="214AB823" w14:textId="77777777" w:rsidR="00324654" w:rsidRPr="00AD3643" w:rsidRDefault="00324654" w:rsidP="00C95D06">
            <w:pPr>
              <w:spacing w:after="0"/>
              <w:ind w:left="142"/>
              <w:jc w:val="both"/>
              <w:rPr>
                <w:rFonts w:ascii="Times New Roman" w:hAnsi="Times New Roman" w:cs="Times New Roman"/>
                <w:b/>
                <w:sz w:val="24"/>
                <w:szCs w:val="24"/>
                <w:lang w:val="en-GB"/>
              </w:rPr>
            </w:pPr>
            <w:r w:rsidRPr="00AD3643">
              <w:rPr>
                <w:rFonts w:ascii="Times New Roman" w:hAnsi="Times New Roman" w:cs="Times New Roman"/>
                <w:b/>
                <w:sz w:val="24"/>
                <w:szCs w:val="24"/>
              </w:rPr>
              <w:drawing>
                <wp:inline distT="0" distB="0" distL="0" distR="0" wp14:anchorId="3EFD0AC7" wp14:editId="0C934871">
                  <wp:extent cx="1023620" cy="1146175"/>
                  <wp:effectExtent l="0" t="0" r="5080" b="0"/>
                  <wp:docPr id="564714100" name="Picture 564714100" descr="A blue and white emblem with a bird and a red and yellow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14100" name="Picture 564714100" descr="A blue and white emblem with a bird and a red and yellow emble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1146175"/>
                          </a:xfrm>
                          <a:prstGeom prst="rect">
                            <a:avLst/>
                          </a:prstGeom>
                          <a:noFill/>
                          <a:ln>
                            <a:noFill/>
                          </a:ln>
                        </pic:spPr>
                      </pic:pic>
                    </a:graphicData>
                  </a:graphic>
                </wp:inline>
              </w:drawing>
            </w:r>
          </w:p>
        </w:tc>
        <w:tc>
          <w:tcPr>
            <w:tcW w:w="7233" w:type="dxa"/>
            <w:vAlign w:val="center"/>
            <w:hideMark/>
          </w:tcPr>
          <w:p w14:paraId="4A86CDDD" w14:textId="77777777" w:rsidR="00324654" w:rsidRPr="00AD3643" w:rsidRDefault="00324654" w:rsidP="00C95D06">
            <w:pPr>
              <w:spacing w:after="0"/>
              <w:jc w:val="both"/>
              <w:rPr>
                <w:rFonts w:ascii="Times New Roman" w:hAnsi="Times New Roman" w:cs="Times New Roman"/>
                <w:b/>
                <w:sz w:val="24"/>
                <w:szCs w:val="24"/>
                <w:lang w:val="it-IT"/>
              </w:rPr>
            </w:pPr>
            <w:r w:rsidRPr="00AD3643">
              <w:rPr>
                <w:rFonts w:ascii="Times New Roman" w:hAnsi="Times New Roman" w:cs="Times New Roman"/>
                <w:b/>
                <w:sz w:val="24"/>
                <w:szCs w:val="24"/>
                <w:lang w:val="it-IT"/>
              </w:rPr>
              <w:t>AUTORITATEA AERONAUTICĂ CIVILĂ</w:t>
            </w:r>
          </w:p>
          <w:p w14:paraId="30946523" w14:textId="77777777" w:rsidR="00324654" w:rsidRPr="00AD3643" w:rsidRDefault="00324654" w:rsidP="00C95D06">
            <w:pPr>
              <w:spacing w:after="0"/>
              <w:jc w:val="both"/>
              <w:rPr>
                <w:rFonts w:ascii="Times New Roman" w:hAnsi="Times New Roman" w:cs="Times New Roman"/>
                <w:b/>
                <w:sz w:val="24"/>
                <w:szCs w:val="24"/>
                <w:lang w:val="it-IT"/>
              </w:rPr>
            </w:pPr>
            <w:r w:rsidRPr="00AD3643">
              <w:rPr>
                <w:rFonts w:ascii="Times New Roman" w:hAnsi="Times New Roman" w:cs="Times New Roman"/>
                <w:b/>
                <w:sz w:val="24"/>
                <w:szCs w:val="24"/>
                <w:lang w:val="it-IT"/>
              </w:rPr>
              <w:t xml:space="preserve">A REPUBLICII MOLDOVA   </w:t>
            </w:r>
          </w:p>
        </w:tc>
      </w:tr>
    </w:tbl>
    <w:p w14:paraId="6F2250C8" w14:textId="77777777" w:rsidR="00324654" w:rsidRPr="00AD3643" w:rsidRDefault="00324654" w:rsidP="00C95D06">
      <w:pPr>
        <w:spacing w:after="0"/>
        <w:jc w:val="both"/>
        <w:rPr>
          <w:rFonts w:ascii="Times New Roman" w:hAnsi="Times New Roman" w:cs="Times New Roman"/>
          <w:sz w:val="24"/>
          <w:szCs w:val="24"/>
          <w:lang w:val="it-IT"/>
        </w:rPr>
      </w:pPr>
    </w:p>
    <w:p w14:paraId="11948148" w14:textId="77777777" w:rsidR="0090377E" w:rsidRPr="00AD3643" w:rsidRDefault="0090377E" w:rsidP="00C95D06">
      <w:pPr>
        <w:spacing w:after="0"/>
        <w:jc w:val="both"/>
        <w:rPr>
          <w:rFonts w:ascii="Times New Roman" w:hAnsi="Times New Roman" w:cs="Times New Roman"/>
          <w:sz w:val="24"/>
          <w:szCs w:val="24"/>
          <w:lang w:val="it-IT"/>
        </w:rPr>
      </w:pPr>
    </w:p>
    <w:p w14:paraId="0930553E" w14:textId="77777777" w:rsidR="0090377E" w:rsidRPr="00AD3643" w:rsidRDefault="0090377E" w:rsidP="00C95D06">
      <w:pPr>
        <w:spacing w:after="0"/>
        <w:jc w:val="both"/>
        <w:rPr>
          <w:rFonts w:ascii="Times New Roman" w:hAnsi="Times New Roman" w:cs="Times New Roman"/>
          <w:sz w:val="24"/>
          <w:szCs w:val="24"/>
          <w:lang w:val="it-IT"/>
        </w:rPr>
      </w:pPr>
    </w:p>
    <w:p w14:paraId="7EE29EEF" w14:textId="77777777" w:rsidR="00B530F1" w:rsidRPr="00AD3643" w:rsidRDefault="00B530F1" w:rsidP="00C95D06">
      <w:pPr>
        <w:spacing w:after="0"/>
        <w:jc w:val="both"/>
        <w:rPr>
          <w:rFonts w:ascii="Times New Roman" w:hAnsi="Times New Roman" w:cs="Times New Roman"/>
          <w:sz w:val="24"/>
          <w:szCs w:val="24"/>
          <w:lang w:val="it-IT"/>
        </w:rPr>
      </w:pPr>
    </w:p>
    <w:p w14:paraId="1281EEC9" w14:textId="77777777" w:rsidR="00CE1F63" w:rsidRPr="00AD3643" w:rsidRDefault="00CE1F63" w:rsidP="00C95D06">
      <w:pPr>
        <w:spacing w:after="0" w:line="240" w:lineRule="auto"/>
        <w:jc w:val="both"/>
        <w:rPr>
          <w:rFonts w:ascii="Times New Roman" w:hAnsi="Times New Roman" w:cs="Times New Roman"/>
          <w:b/>
          <w:bCs/>
          <w:sz w:val="24"/>
          <w:szCs w:val="24"/>
          <w:lang w:val="it-IT"/>
        </w:rPr>
      </w:pPr>
      <w:bookmarkStart w:id="0" w:name="_Hlk157155903"/>
    </w:p>
    <w:p w14:paraId="28732A88" w14:textId="77777777" w:rsidR="00A034BD" w:rsidRPr="00907E9E" w:rsidRDefault="00A034BD" w:rsidP="001F4A36">
      <w:pPr>
        <w:spacing w:after="0" w:line="240" w:lineRule="auto"/>
        <w:jc w:val="both"/>
        <w:rPr>
          <w:rFonts w:ascii="Times New Roman" w:hAnsi="Times New Roman" w:cs="Times New Roman"/>
          <w:b/>
          <w:bCs/>
          <w:sz w:val="48"/>
          <w:szCs w:val="48"/>
          <w:lang w:val="en-US"/>
        </w:rPr>
      </w:pPr>
      <w:r w:rsidRPr="00907E9E">
        <w:rPr>
          <w:rFonts w:ascii="Times New Roman" w:hAnsi="Times New Roman" w:cs="Times New Roman"/>
          <w:b/>
          <w:bCs/>
          <w:sz w:val="48"/>
          <w:szCs w:val="48"/>
          <w:lang w:val="en-US"/>
        </w:rPr>
        <w:t>A</w:t>
      </w:r>
      <w:r w:rsidRPr="00907E9E">
        <w:rPr>
          <w:rFonts w:ascii="Times New Roman" w:hAnsi="Times New Roman" w:cs="Times New Roman"/>
          <w:sz w:val="48"/>
          <w:szCs w:val="48"/>
          <w:lang w:val="en-US"/>
        </w:rPr>
        <w:t>cceptable</w:t>
      </w:r>
      <w:r w:rsidRPr="00907E9E">
        <w:rPr>
          <w:rFonts w:ascii="Times New Roman" w:hAnsi="Times New Roman" w:cs="Times New Roman"/>
          <w:b/>
          <w:bCs/>
          <w:sz w:val="48"/>
          <w:szCs w:val="48"/>
          <w:lang w:val="en-US"/>
        </w:rPr>
        <w:t xml:space="preserve"> </w:t>
      </w:r>
    </w:p>
    <w:p w14:paraId="6533633E" w14:textId="77777777" w:rsidR="00A034BD" w:rsidRPr="00907E9E" w:rsidRDefault="00A034BD" w:rsidP="001F4A36">
      <w:pPr>
        <w:spacing w:after="0" w:line="240" w:lineRule="auto"/>
        <w:jc w:val="both"/>
        <w:rPr>
          <w:rFonts w:ascii="Times New Roman" w:hAnsi="Times New Roman" w:cs="Times New Roman"/>
          <w:b/>
          <w:bCs/>
          <w:sz w:val="48"/>
          <w:szCs w:val="48"/>
          <w:lang w:val="en-US"/>
        </w:rPr>
      </w:pPr>
      <w:r w:rsidRPr="00907E9E">
        <w:rPr>
          <w:rFonts w:ascii="Times New Roman" w:hAnsi="Times New Roman" w:cs="Times New Roman"/>
          <w:b/>
          <w:bCs/>
          <w:sz w:val="48"/>
          <w:szCs w:val="48"/>
          <w:lang w:val="en-US"/>
        </w:rPr>
        <w:t>M</w:t>
      </w:r>
      <w:r w:rsidRPr="00907E9E">
        <w:rPr>
          <w:rFonts w:ascii="Times New Roman" w:hAnsi="Times New Roman" w:cs="Times New Roman"/>
          <w:sz w:val="48"/>
          <w:szCs w:val="48"/>
          <w:lang w:val="en-US"/>
        </w:rPr>
        <w:t>eans</w:t>
      </w:r>
      <w:r w:rsidRPr="00907E9E">
        <w:rPr>
          <w:rFonts w:ascii="Times New Roman" w:hAnsi="Times New Roman" w:cs="Times New Roman"/>
          <w:b/>
          <w:bCs/>
          <w:sz w:val="48"/>
          <w:szCs w:val="48"/>
          <w:lang w:val="en-US"/>
        </w:rPr>
        <w:t xml:space="preserve"> </w:t>
      </w:r>
      <w:r w:rsidRPr="00907E9E">
        <w:rPr>
          <w:rFonts w:ascii="Times New Roman" w:hAnsi="Times New Roman" w:cs="Times New Roman"/>
          <w:sz w:val="48"/>
          <w:szCs w:val="48"/>
          <w:lang w:val="en-US"/>
        </w:rPr>
        <w:t xml:space="preserve">of </w:t>
      </w:r>
    </w:p>
    <w:p w14:paraId="7F73386E" w14:textId="77777777" w:rsidR="00A034BD" w:rsidRPr="00907E9E" w:rsidRDefault="00A034BD" w:rsidP="001F4A36">
      <w:pPr>
        <w:spacing w:after="0" w:line="240" w:lineRule="auto"/>
        <w:jc w:val="both"/>
        <w:rPr>
          <w:rFonts w:ascii="Times New Roman" w:hAnsi="Times New Roman" w:cs="Times New Roman"/>
          <w:b/>
          <w:bCs/>
          <w:sz w:val="48"/>
          <w:szCs w:val="48"/>
          <w:lang w:val="en-US"/>
        </w:rPr>
      </w:pPr>
      <w:r w:rsidRPr="00907E9E">
        <w:rPr>
          <w:rFonts w:ascii="Times New Roman" w:hAnsi="Times New Roman" w:cs="Times New Roman"/>
          <w:b/>
          <w:bCs/>
          <w:sz w:val="48"/>
          <w:szCs w:val="48"/>
          <w:lang w:val="en-US"/>
        </w:rPr>
        <w:t>C</w:t>
      </w:r>
      <w:r w:rsidRPr="00907E9E">
        <w:rPr>
          <w:rFonts w:ascii="Times New Roman" w:hAnsi="Times New Roman" w:cs="Times New Roman"/>
          <w:sz w:val="48"/>
          <w:szCs w:val="48"/>
          <w:lang w:val="en-US"/>
        </w:rPr>
        <w:t>ompliance</w:t>
      </w:r>
    </w:p>
    <w:p w14:paraId="0248DE48" w14:textId="77777777" w:rsidR="00A034BD" w:rsidRPr="00907E9E" w:rsidRDefault="00A034BD" w:rsidP="001F4A36">
      <w:pPr>
        <w:spacing w:after="0" w:line="240" w:lineRule="auto"/>
        <w:jc w:val="both"/>
        <w:rPr>
          <w:rFonts w:ascii="Times New Roman" w:hAnsi="Times New Roman" w:cs="Times New Roman"/>
          <w:sz w:val="48"/>
          <w:szCs w:val="48"/>
          <w:lang w:val="en-US"/>
        </w:rPr>
      </w:pPr>
      <w:r w:rsidRPr="00907E9E">
        <w:rPr>
          <w:rFonts w:ascii="Times New Roman" w:hAnsi="Times New Roman" w:cs="Times New Roman"/>
          <w:sz w:val="48"/>
          <w:szCs w:val="48"/>
          <w:lang w:val="en-US"/>
        </w:rPr>
        <w:t xml:space="preserve">and </w:t>
      </w:r>
    </w:p>
    <w:p w14:paraId="40842F9F" w14:textId="77777777" w:rsidR="00A034BD" w:rsidRPr="00907E9E" w:rsidRDefault="00A034BD" w:rsidP="001F4A36">
      <w:pPr>
        <w:spacing w:after="0" w:line="240" w:lineRule="auto"/>
        <w:jc w:val="both"/>
        <w:rPr>
          <w:rFonts w:ascii="Times New Roman" w:hAnsi="Times New Roman" w:cs="Times New Roman"/>
          <w:b/>
          <w:bCs/>
          <w:sz w:val="48"/>
          <w:szCs w:val="48"/>
          <w:lang w:val="en-US"/>
        </w:rPr>
      </w:pPr>
      <w:r w:rsidRPr="00907E9E">
        <w:rPr>
          <w:rFonts w:ascii="Times New Roman" w:hAnsi="Times New Roman" w:cs="Times New Roman"/>
          <w:b/>
          <w:bCs/>
          <w:sz w:val="48"/>
          <w:szCs w:val="48"/>
          <w:lang w:val="en-US"/>
        </w:rPr>
        <w:t>G</w:t>
      </w:r>
      <w:r w:rsidRPr="00907E9E">
        <w:rPr>
          <w:rFonts w:ascii="Times New Roman" w:hAnsi="Times New Roman" w:cs="Times New Roman"/>
          <w:sz w:val="48"/>
          <w:szCs w:val="48"/>
          <w:lang w:val="en-US"/>
        </w:rPr>
        <w:t>uidance</w:t>
      </w:r>
      <w:r w:rsidRPr="00907E9E">
        <w:rPr>
          <w:rFonts w:ascii="Times New Roman" w:hAnsi="Times New Roman" w:cs="Times New Roman"/>
          <w:b/>
          <w:bCs/>
          <w:sz w:val="48"/>
          <w:szCs w:val="48"/>
          <w:lang w:val="en-US"/>
        </w:rPr>
        <w:t xml:space="preserve"> M</w:t>
      </w:r>
      <w:r w:rsidRPr="00907E9E">
        <w:rPr>
          <w:rFonts w:ascii="Times New Roman" w:hAnsi="Times New Roman" w:cs="Times New Roman"/>
          <w:sz w:val="48"/>
          <w:szCs w:val="48"/>
          <w:lang w:val="en-US"/>
        </w:rPr>
        <w:t>aterials</w:t>
      </w:r>
    </w:p>
    <w:p w14:paraId="1DB25EAD" w14:textId="659BD0D2" w:rsidR="00924B6D" w:rsidRPr="00AD3643" w:rsidRDefault="00924B6D" w:rsidP="00C95D06">
      <w:pPr>
        <w:spacing w:after="0" w:line="240" w:lineRule="auto"/>
        <w:jc w:val="both"/>
        <w:rPr>
          <w:rFonts w:ascii="Times New Roman" w:hAnsi="Times New Roman" w:cs="Times New Roman"/>
          <w:b/>
          <w:bCs/>
          <w:sz w:val="24"/>
          <w:szCs w:val="24"/>
          <w:lang w:val="en-US"/>
        </w:rPr>
      </w:pPr>
    </w:p>
    <w:p w14:paraId="6060316B" w14:textId="77777777" w:rsidR="00BF2377" w:rsidRPr="00AD3643" w:rsidRDefault="00BF2377" w:rsidP="00C95D06">
      <w:pPr>
        <w:spacing w:after="0" w:line="240" w:lineRule="auto"/>
        <w:jc w:val="both"/>
        <w:rPr>
          <w:rFonts w:ascii="Times New Roman" w:hAnsi="Times New Roman" w:cs="Times New Roman"/>
          <w:b/>
          <w:bCs/>
          <w:sz w:val="24"/>
          <w:szCs w:val="24"/>
          <w:lang w:val="en-US"/>
        </w:rPr>
      </w:pPr>
    </w:p>
    <w:p w14:paraId="5A5086F6" w14:textId="77777777" w:rsidR="006F4212" w:rsidRPr="00AD3643" w:rsidRDefault="006F4212" w:rsidP="00C95D06">
      <w:pPr>
        <w:spacing w:after="0" w:line="240" w:lineRule="auto"/>
        <w:jc w:val="both"/>
        <w:rPr>
          <w:rFonts w:ascii="Times New Roman" w:hAnsi="Times New Roman" w:cs="Times New Roman"/>
          <w:b/>
          <w:bCs/>
          <w:sz w:val="24"/>
          <w:szCs w:val="24"/>
          <w:lang w:val="en-US"/>
        </w:rPr>
      </w:pPr>
    </w:p>
    <w:p w14:paraId="31233693" w14:textId="77777777" w:rsidR="006F4212" w:rsidRPr="00AD3643" w:rsidRDefault="006F4212" w:rsidP="00C95D06">
      <w:pPr>
        <w:spacing w:after="0" w:line="240" w:lineRule="auto"/>
        <w:jc w:val="both"/>
        <w:rPr>
          <w:rFonts w:ascii="Times New Roman" w:hAnsi="Times New Roman" w:cs="Times New Roman"/>
          <w:b/>
          <w:bCs/>
          <w:sz w:val="24"/>
          <w:szCs w:val="24"/>
          <w:lang w:val="en-US"/>
        </w:rPr>
      </w:pPr>
    </w:p>
    <w:p w14:paraId="0115C5ED" w14:textId="77777777" w:rsidR="006F4212" w:rsidRDefault="006F4212" w:rsidP="00C95D06">
      <w:pPr>
        <w:spacing w:after="0" w:line="240" w:lineRule="auto"/>
        <w:jc w:val="both"/>
        <w:rPr>
          <w:rFonts w:ascii="Times New Roman" w:hAnsi="Times New Roman" w:cs="Times New Roman"/>
          <w:b/>
          <w:bCs/>
          <w:sz w:val="24"/>
          <w:szCs w:val="24"/>
          <w:lang w:val="en-US"/>
        </w:rPr>
      </w:pPr>
    </w:p>
    <w:p w14:paraId="547E940B" w14:textId="77777777" w:rsidR="007F7C8A" w:rsidRDefault="007F7C8A" w:rsidP="00C95D06">
      <w:pPr>
        <w:spacing w:after="0" w:line="240" w:lineRule="auto"/>
        <w:jc w:val="both"/>
        <w:rPr>
          <w:rFonts w:ascii="Times New Roman" w:hAnsi="Times New Roman" w:cs="Times New Roman"/>
          <w:b/>
          <w:bCs/>
          <w:sz w:val="24"/>
          <w:szCs w:val="24"/>
          <w:lang w:val="en-US"/>
        </w:rPr>
      </w:pPr>
    </w:p>
    <w:p w14:paraId="4FBCFA36" w14:textId="77777777" w:rsidR="007F7C8A" w:rsidRDefault="007F7C8A" w:rsidP="00C95D06">
      <w:pPr>
        <w:spacing w:after="0" w:line="240" w:lineRule="auto"/>
        <w:jc w:val="both"/>
        <w:rPr>
          <w:rFonts w:ascii="Times New Roman" w:hAnsi="Times New Roman" w:cs="Times New Roman"/>
          <w:b/>
          <w:bCs/>
          <w:sz w:val="24"/>
          <w:szCs w:val="24"/>
          <w:lang w:val="en-US"/>
        </w:rPr>
      </w:pPr>
    </w:p>
    <w:p w14:paraId="34D3C145" w14:textId="77777777" w:rsidR="007F7C8A" w:rsidRPr="00AD3643" w:rsidRDefault="007F7C8A" w:rsidP="00C95D06">
      <w:pPr>
        <w:spacing w:after="0" w:line="240" w:lineRule="auto"/>
        <w:jc w:val="both"/>
        <w:rPr>
          <w:rFonts w:ascii="Times New Roman" w:hAnsi="Times New Roman" w:cs="Times New Roman"/>
          <w:b/>
          <w:bCs/>
          <w:sz w:val="24"/>
          <w:szCs w:val="24"/>
          <w:lang w:val="en-US"/>
        </w:rPr>
      </w:pPr>
    </w:p>
    <w:p w14:paraId="1E42D3D6" w14:textId="3845ED9D" w:rsidR="0090377E" w:rsidRPr="001F4A36" w:rsidRDefault="00A034BD" w:rsidP="00C95D06">
      <w:pPr>
        <w:spacing w:after="0" w:line="240" w:lineRule="auto"/>
        <w:jc w:val="both"/>
        <w:rPr>
          <w:rFonts w:ascii="Times New Roman" w:hAnsi="Times New Roman" w:cs="Times New Roman"/>
          <w:b/>
          <w:bCs/>
          <w:sz w:val="36"/>
          <w:szCs w:val="36"/>
          <w:lang w:val="ro-MD"/>
        </w:rPr>
      </w:pPr>
      <w:r w:rsidRPr="001F4A36">
        <w:rPr>
          <w:rFonts w:ascii="Times New Roman" w:hAnsi="Times New Roman" w:cs="Times New Roman"/>
          <w:b/>
          <w:bCs/>
          <w:sz w:val="36"/>
          <w:szCs w:val="36"/>
          <w:lang w:val="en-US"/>
        </w:rPr>
        <w:t>AMC&amp;GM</w:t>
      </w:r>
      <w:r w:rsidRPr="001F4A36">
        <w:rPr>
          <w:rFonts w:ascii="Times New Roman" w:hAnsi="Times New Roman" w:cs="Times New Roman"/>
          <w:b/>
          <w:bCs/>
          <w:sz w:val="36"/>
          <w:szCs w:val="36"/>
          <w:lang w:val="ro-MD"/>
        </w:rPr>
        <w:t xml:space="preserve"> – Partea </w:t>
      </w:r>
      <w:r w:rsidR="00AD3643" w:rsidRPr="001F4A36">
        <w:rPr>
          <w:rFonts w:ascii="Times New Roman" w:hAnsi="Times New Roman" w:cs="Times New Roman"/>
          <w:b/>
          <w:bCs/>
          <w:sz w:val="36"/>
          <w:szCs w:val="36"/>
          <w:lang w:val="ro-MD"/>
        </w:rPr>
        <w:t>145</w:t>
      </w:r>
    </w:p>
    <w:p w14:paraId="52DBFEDF" w14:textId="77777777" w:rsidR="006C71DC" w:rsidRPr="001F4A36" w:rsidRDefault="006C71DC" w:rsidP="00C95D06">
      <w:pPr>
        <w:spacing w:after="0" w:line="240" w:lineRule="auto"/>
        <w:jc w:val="both"/>
        <w:rPr>
          <w:rFonts w:ascii="Times New Roman" w:hAnsi="Times New Roman" w:cs="Times New Roman"/>
          <w:b/>
          <w:bCs/>
          <w:sz w:val="36"/>
          <w:szCs w:val="36"/>
          <w:lang w:val="en-US"/>
        </w:rPr>
      </w:pPr>
    </w:p>
    <w:p w14:paraId="674297A2" w14:textId="0770DFCF" w:rsidR="00BF2377" w:rsidRPr="001F4A36" w:rsidRDefault="00A034BD" w:rsidP="00C95D06">
      <w:pPr>
        <w:spacing w:after="0" w:line="240" w:lineRule="auto"/>
        <w:jc w:val="both"/>
        <w:rPr>
          <w:rFonts w:ascii="Times New Roman" w:hAnsi="Times New Roman" w:cs="Times New Roman"/>
          <w:b/>
          <w:bCs/>
          <w:sz w:val="36"/>
          <w:szCs w:val="36"/>
          <w:lang w:val="it-IT"/>
        </w:rPr>
      </w:pPr>
      <w:r w:rsidRPr="001F4A36">
        <w:rPr>
          <w:rFonts w:ascii="Times New Roman" w:hAnsi="Times New Roman" w:cs="Times New Roman"/>
          <w:b/>
          <w:bCs/>
          <w:sz w:val="36"/>
          <w:szCs w:val="36"/>
          <w:lang w:val="it-IT"/>
        </w:rPr>
        <w:t xml:space="preserve">La anexa </w:t>
      </w:r>
      <w:r w:rsidR="00AD3643" w:rsidRPr="001F4A36">
        <w:rPr>
          <w:rFonts w:ascii="Times New Roman" w:hAnsi="Times New Roman" w:cs="Times New Roman"/>
          <w:b/>
          <w:bCs/>
          <w:sz w:val="36"/>
          <w:szCs w:val="36"/>
          <w:lang w:val="it-IT"/>
        </w:rPr>
        <w:t>2</w:t>
      </w:r>
      <w:r w:rsidRPr="001F4A36">
        <w:rPr>
          <w:rFonts w:ascii="Times New Roman" w:hAnsi="Times New Roman" w:cs="Times New Roman"/>
          <w:b/>
          <w:bCs/>
          <w:sz w:val="36"/>
          <w:szCs w:val="36"/>
          <w:lang w:val="it-IT"/>
        </w:rPr>
        <w:t xml:space="preserve"> (partea </w:t>
      </w:r>
      <w:r w:rsidR="00AD3643" w:rsidRPr="001F4A36">
        <w:rPr>
          <w:rFonts w:ascii="Times New Roman" w:hAnsi="Times New Roman" w:cs="Times New Roman"/>
          <w:b/>
          <w:bCs/>
          <w:sz w:val="36"/>
          <w:szCs w:val="36"/>
          <w:lang w:val="it-IT"/>
        </w:rPr>
        <w:t>145</w:t>
      </w:r>
      <w:r w:rsidRPr="001F4A36">
        <w:rPr>
          <w:rFonts w:ascii="Times New Roman" w:hAnsi="Times New Roman" w:cs="Times New Roman"/>
          <w:b/>
          <w:bCs/>
          <w:sz w:val="36"/>
          <w:szCs w:val="36"/>
          <w:lang w:val="it-IT"/>
        </w:rPr>
        <w:t xml:space="preserve">) </w:t>
      </w:r>
      <w:r w:rsidR="00916630" w:rsidRPr="001F4A36">
        <w:rPr>
          <w:rFonts w:ascii="Times New Roman" w:hAnsi="Times New Roman" w:cs="Times New Roman"/>
          <w:b/>
          <w:bCs/>
          <w:sz w:val="36"/>
          <w:szCs w:val="36"/>
          <w:lang w:val="it-IT"/>
        </w:rPr>
        <w:t>din</w:t>
      </w:r>
      <w:r w:rsidRPr="001F4A36">
        <w:rPr>
          <w:rFonts w:ascii="Times New Roman" w:hAnsi="Times New Roman" w:cs="Times New Roman"/>
          <w:b/>
          <w:bCs/>
          <w:sz w:val="36"/>
          <w:szCs w:val="36"/>
          <w:lang w:val="it-IT"/>
        </w:rPr>
        <w:t xml:space="preserve"> HG nr. 465/2025</w:t>
      </w:r>
    </w:p>
    <w:bookmarkEnd w:id="0"/>
    <w:p w14:paraId="5419279E" w14:textId="77777777" w:rsidR="005C28ED" w:rsidRPr="00AD3643" w:rsidRDefault="005C28ED" w:rsidP="00C95D06">
      <w:pPr>
        <w:spacing w:after="0"/>
        <w:jc w:val="both"/>
        <w:rPr>
          <w:rFonts w:ascii="Times New Roman" w:hAnsi="Times New Roman" w:cs="Times New Roman"/>
          <w:sz w:val="24"/>
          <w:szCs w:val="24"/>
          <w:lang w:val="ro-RO"/>
        </w:rPr>
      </w:pPr>
    </w:p>
    <w:p w14:paraId="0D48E864" w14:textId="77777777" w:rsidR="0090377E" w:rsidRPr="00AD3643" w:rsidRDefault="0090377E" w:rsidP="00C95D06">
      <w:pPr>
        <w:spacing w:after="0"/>
        <w:jc w:val="both"/>
        <w:rPr>
          <w:rFonts w:ascii="Times New Roman" w:hAnsi="Times New Roman" w:cs="Times New Roman"/>
          <w:sz w:val="24"/>
          <w:szCs w:val="24"/>
          <w:lang w:val="ro-RO"/>
        </w:rPr>
      </w:pPr>
    </w:p>
    <w:p w14:paraId="410803B8" w14:textId="77777777" w:rsidR="0090377E" w:rsidRPr="00AD3643" w:rsidRDefault="0090377E" w:rsidP="00C95D06">
      <w:pPr>
        <w:spacing w:after="0"/>
        <w:jc w:val="both"/>
        <w:rPr>
          <w:rFonts w:ascii="Times New Roman" w:hAnsi="Times New Roman" w:cs="Times New Roman"/>
          <w:sz w:val="24"/>
          <w:szCs w:val="24"/>
          <w:lang w:val="ro-RO"/>
        </w:rPr>
      </w:pPr>
    </w:p>
    <w:p w14:paraId="6B8376F1" w14:textId="77777777" w:rsidR="0090377E" w:rsidRPr="00AD3643" w:rsidRDefault="0090377E" w:rsidP="00C95D06">
      <w:pPr>
        <w:spacing w:after="0"/>
        <w:jc w:val="both"/>
        <w:rPr>
          <w:rFonts w:ascii="Times New Roman" w:hAnsi="Times New Roman" w:cs="Times New Roman"/>
          <w:sz w:val="24"/>
          <w:szCs w:val="24"/>
          <w:lang w:val="ro-RO"/>
        </w:rPr>
      </w:pPr>
    </w:p>
    <w:p w14:paraId="6411B455" w14:textId="77777777" w:rsidR="005C28ED" w:rsidRDefault="005C28ED" w:rsidP="00C95D06">
      <w:pPr>
        <w:spacing w:after="0"/>
        <w:jc w:val="both"/>
        <w:rPr>
          <w:rFonts w:ascii="Times New Roman" w:hAnsi="Times New Roman" w:cs="Times New Roman"/>
          <w:sz w:val="24"/>
          <w:szCs w:val="24"/>
          <w:lang w:val="ro-RO"/>
        </w:rPr>
      </w:pPr>
    </w:p>
    <w:p w14:paraId="33615798" w14:textId="77777777" w:rsidR="00AD3643" w:rsidRDefault="00AD3643" w:rsidP="00C95D06">
      <w:pPr>
        <w:spacing w:after="0"/>
        <w:jc w:val="both"/>
        <w:rPr>
          <w:rFonts w:ascii="Times New Roman" w:hAnsi="Times New Roman" w:cs="Times New Roman"/>
          <w:sz w:val="24"/>
          <w:szCs w:val="24"/>
          <w:lang w:val="ro-RO"/>
        </w:rPr>
      </w:pPr>
    </w:p>
    <w:p w14:paraId="5A840BAD" w14:textId="77777777" w:rsidR="00AD3643" w:rsidRDefault="00AD3643" w:rsidP="00C95D06">
      <w:pPr>
        <w:spacing w:after="0"/>
        <w:jc w:val="both"/>
        <w:rPr>
          <w:rFonts w:ascii="Times New Roman" w:hAnsi="Times New Roman" w:cs="Times New Roman"/>
          <w:sz w:val="24"/>
          <w:szCs w:val="24"/>
          <w:lang w:val="ro-RO"/>
        </w:rPr>
      </w:pPr>
    </w:p>
    <w:p w14:paraId="003856E7" w14:textId="77777777" w:rsidR="00AD3643" w:rsidRDefault="00AD3643" w:rsidP="00C95D06">
      <w:pPr>
        <w:spacing w:after="0"/>
        <w:jc w:val="both"/>
        <w:rPr>
          <w:rFonts w:ascii="Times New Roman" w:hAnsi="Times New Roman" w:cs="Times New Roman"/>
          <w:sz w:val="24"/>
          <w:szCs w:val="24"/>
          <w:lang w:val="ro-RO"/>
        </w:rPr>
      </w:pPr>
    </w:p>
    <w:p w14:paraId="4532A3F1" w14:textId="77777777" w:rsidR="00AD3643" w:rsidRDefault="00AD3643" w:rsidP="00C95D06">
      <w:pPr>
        <w:spacing w:after="0"/>
        <w:jc w:val="both"/>
        <w:rPr>
          <w:rFonts w:ascii="Times New Roman" w:hAnsi="Times New Roman" w:cs="Times New Roman"/>
          <w:sz w:val="24"/>
          <w:szCs w:val="24"/>
          <w:lang w:val="ro-RO"/>
        </w:rPr>
      </w:pPr>
    </w:p>
    <w:p w14:paraId="71D0BD2A" w14:textId="77777777" w:rsidR="009F0D3D" w:rsidRDefault="009F0D3D" w:rsidP="00C95D06">
      <w:pPr>
        <w:spacing w:after="0"/>
        <w:jc w:val="both"/>
        <w:rPr>
          <w:rFonts w:ascii="Times New Roman" w:hAnsi="Times New Roman" w:cs="Times New Roman"/>
          <w:sz w:val="24"/>
          <w:szCs w:val="24"/>
          <w:lang w:val="ro-RO"/>
        </w:rPr>
      </w:pPr>
    </w:p>
    <w:p w14:paraId="46602AB1" w14:textId="77777777" w:rsidR="009F0D3D" w:rsidRDefault="009F0D3D" w:rsidP="00C95D06">
      <w:pPr>
        <w:spacing w:after="0"/>
        <w:jc w:val="both"/>
        <w:rPr>
          <w:rFonts w:ascii="Times New Roman" w:hAnsi="Times New Roman" w:cs="Times New Roman"/>
          <w:sz w:val="24"/>
          <w:szCs w:val="24"/>
          <w:lang w:val="ro-RO"/>
        </w:rPr>
      </w:pPr>
    </w:p>
    <w:p w14:paraId="607C4415" w14:textId="77777777" w:rsidR="009F0D3D" w:rsidRDefault="009F0D3D" w:rsidP="00C95D06">
      <w:pPr>
        <w:spacing w:after="0"/>
        <w:jc w:val="both"/>
        <w:rPr>
          <w:rFonts w:ascii="Times New Roman" w:hAnsi="Times New Roman" w:cs="Times New Roman"/>
          <w:sz w:val="24"/>
          <w:szCs w:val="24"/>
          <w:lang w:val="ro-RO"/>
        </w:rPr>
      </w:pPr>
    </w:p>
    <w:p w14:paraId="0B8254C9" w14:textId="77777777" w:rsidR="009F0D3D" w:rsidRDefault="009F0D3D" w:rsidP="00C95D06">
      <w:pPr>
        <w:spacing w:after="0"/>
        <w:jc w:val="both"/>
        <w:rPr>
          <w:rFonts w:ascii="Times New Roman" w:hAnsi="Times New Roman" w:cs="Times New Roman"/>
          <w:sz w:val="24"/>
          <w:szCs w:val="24"/>
          <w:lang w:val="ro-RO"/>
        </w:rPr>
      </w:pPr>
    </w:p>
    <w:p w14:paraId="44993C22" w14:textId="77777777" w:rsidR="009F0D3D" w:rsidRPr="00AD3643" w:rsidRDefault="009F0D3D" w:rsidP="00C95D06">
      <w:pPr>
        <w:spacing w:after="0"/>
        <w:jc w:val="both"/>
        <w:rPr>
          <w:rFonts w:ascii="Times New Roman" w:hAnsi="Times New Roman" w:cs="Times New Roman"/>
          <w:sz w:val="24"/>
          <w:szCs w:val="24"/>
          <w:lang w:val="ro-RO"/>
        </w:rPr>
      </w:pPr>
    </w:p>
    <w:p w14:paraId="76B4CFCA" w14:textId="77777777" w:rsidR="0090377E" w:rsidRPr="00AD3643" w:rsidRDefault="0090377E" w:rsidP="00C95D06">
      <w:pPr>
        <w:tabs>
          <w:tab w:val="left" w:pos="614"/>
          <w:tab w:val="left" w:pos="936"/>
          <w:tab w:val="center" w:pos="4677"/>
        </w:tabs>
        <w:spacing w:after="0"/>
        <w:jc w:val="both"/>
        <w:rPr>
          <w:rFonts w:ascii="Times New Roman" w:hAnsi="Times New Roman" w:cs="Times New Roman"/>
          <w:b/>
          <w:bCs/>
          <w:sz w:val="24"/>
          <w:szCs w:val="24"/>
          <w:lang w:val="ro-RO"/>
        </w:rPr>
      </w:pPr>
    </w:p>
    <w:p w14:paraId="3EC65FAC" w14:textId="50031C38" w:rsidR="00AD3643" w:rsidRPr="00AD3643" w:rsidRDefault="00B530F1" w:rsidP="00C95D06">
      <w:pPr>
        <w:tabs>
          <w:tab w:val="left" w:pos="614"/>
          <w:tab w:val="left" w:pos="936"/>
          <w:tab w:val="center" w:pos="4677"/>
        </w:tabs>
        <w:spacing w:after="0"/>
        <w:jc w:val="both"/>
        <w:rPr>
          <w:rFonts w:ascii="Times New Roman" w:hAnsi="Times New Roman" w:cs="Times New Roman"/>
          <w:b/>
          <w:bCs/>
          <w:sz w:val="24"/>
          <w:szCs w:val="24"/>
          <w:lang w:val="fr-FR"/>
        </w:rPr>
      </w:pPr>
      <w:r w:rsidRPr="00AD3643">
        <w:rPr>
          <w:rFonts w:ascii="Times New Roman" w:hAnsi="Times New Roman" w:cs="Times New Roman"/>
          <w:b/>
          <w:bCs/>
          <w:sz w:val="24"/>
          <w:szCs w:val="24"/>
          <w:lang w:val="ro-RO"/>
        </w:rPr>
        <w:tab/>
      </w:r>
      <w:r w:rsidRPr="00AD3643">
        <w:rPr>
          <w:rFonts w:ascii="Times New Roman" w:hAnsi="Times New Roman" w:cs="Times New Roman"/>
          <w:b/>
          <w:bCs/>
          <w:sz w:val="24"/>
          <w:szCs w:val="24"/>
          <w:lang w:val="ro-RO"/>
        </w:rPr>
        <w:tab/>
      </w:r>
      <w:r w:rsidRPr="00AD3643">
        <w:rPr>
          <w:rFonts w:ascii="Times New Roman" w:hAnsi="Times New Roman" w:cs="Times New Roman"/>
          <w:b/>
          <w:bCs/>
          <w:sz w:val="24"/>
          <w:szCs w:val="24"/>
          <w:lang w:val="ro-RO"/>
        </w:rPr>
        <w:tab/>
      </w:r>
      <w:r w:rsidR="00324654" w:rsidRPr="00AD3643">
        <w:rPr>
          <w:rFonts w:ascii="Times New Roman" w:hAnsi="Times New Roman" w:cs="Times New Roman"/>
          <w:b/>
          <w:bCs/>
          <w:sz w:val="24"/>
          <w:szCs w:val="24"/>
          <w:lang w:val="fr-FR"/>
        </w:rPr>
        <w:t xml:space="preserve">Ediţia 01/ </w:t>
      </w:r>
      <w:r w:rsidR="00907E9E">
        <w:rPr>
          <w:rFonts w:ascii="Times New Roman" w:hAnsi="Times New Roman" w:cs="Times New Roman"/>
          <w:b/>
          <w:bCs/>
          <w:sz w:val="24"/>
          <w:szCs w:val="24"/>
          <w:lang w:val="fr-FR"/>
        </w:rPr>
        <w:t>Septembrie</w:t>
      </w:r>
      <w:r w:rsidR="00540C16" w:rsidRPr="00AD3643">
        <w:rPr>
          <w:rFonts w:ascii="Times New Roman" w:hAnsi="Times New Roman" w:cs="Times New Roman"/>
          <w:b/>
          <w:bCs/>
          <w:sz w:val="24"/>
          <w:szCs w:val="24"/>
          <w:lang w:val="fr-FR"/>
        </w:rPr>
        <w:t xml:space="preserve"> 202</w:t>
      </w:r>
      <w:r w:rsidR="006F4212" w:rsidRPr="00AD3643">
        <w:rPr>
          <w:rFonts w:ascii="Times New Roman" w:hAnsi="Times New Roman" w:cs="Times New Roman"/>
          <w:b/>
          <w:bCs/>
          <w:sz w:val="24"/>
          <w:szCs w:val="24"/>
          <w:lang w:val="fr-FR"/>
        </w:rPr>
        <w:t>6</w:t>
      </w:r>
    </w:p>
    <w:sdt>
      <w:sdtPr>
        <w:rPr>
          <w:rFonts w:ascii="Times New Roman" w:eastAsia="Calibri" w:hAnsi="Times New Roman" w:cs="Times New Roman"/>
          <w:color w:val="auto"/>
          <w:sz w:val="24"/>
          <w:szCs w:val="24"/>
          <w:lang w:val="ru-RU" w:eastAsia="ru-RU"/>
        </w:rPr>
        <w:id w:val="-882714416"/>
        <w:docPartObj>
          <w:docPartGallery w:val="Table of Contents"/>
          <w:docPartUnique/>
        </w:docPartObj>
      </w:sdtPr>
      <w:sdtEndPr>
        <w:rPr>
          <w:b/>
          <w:bCs/>
        </w:rPr>
      </w:sdtEndPr>
      <w:sdtContent>
        <w:p w14:paraId="3EB689C9" w14:textId="7BD0B085" w:rsidR="00126B51" w:rsidRPr="00892E1E" w:rsidRDefault="00126B51" w:rsidP="00C95D06">
          <w:pPr>
            <w:pStyle w:val="TOCHeading"/>
            <w:jc w:val="both"/>
            <w:rPr>
              <w:rFonts w:ascii="Times New Roman" w:hAnsi="Times New Roman" w:cs="Times New Roman"/>
              <w:b/>
              <w:bCs/>
              <w:color w:val="auto"/>
              <w:sz w:val="24"/>
              <w:szCs w:val="24"/>
            </w:rPr>
          </w:pPr>
          <w:r w:rsidRPr="00892E1E">
            <w:rPr>
              <w:rFonts w:ascii="Times New Roman" w:hAnsi="Times New Roman" w:cs="Times New Roman"/>
              <w:b/>
              <w:bCs/>
              <w:color w:val="auto"/>
              <w:sz w:val="24"/>
              <w:szCs w:val="24"/>
            </w:rPr>
            <w:t>Cuprins</w:t>
          </w:r>
        </w:p>
        <w:p w14:paraId="5EFAC365" w14:textId="1479DC32" w:rsidR="005E6F31" w:rsidRPr="00892E1E" w:rsidRDefault="00126B51">
          <w:pPr>
            <w:pStyle w:val="TOC1"/>
            <w:rPr>
              <w:rFonts w:eastAsiaTheme="minorEastAsia"/>
              <w:kern w:val="2"/>
              <w:szCs w:val="24"/>
              <w:lang w:val="en-US" w:eastAsia="en-US"/>
              <w14:ligatures w14:val="standardContextual"/>
            </w:rPr>
          </w:pPr>
          <w:r w:rsidRPr="00892E1E">
            <w:rPr>
              <w:szCs w:val="24"/>
            </w:rPr>
            <w:fldChar w:fldCharType="begin"/>
          </w:r>
          <w:r w:rsidRPr="00892E1E">
            <w:rPr>
              <w:szCs w:val="24"/>
            </w:rPr>
            <w:instrText xml:space="preserve"> TOC \o "1-3" \h \z \u </w:instrText>
          </w:r>
          <w:r w:rsidRPr="00892E1E">
            <w:rPr>
              <w:szCs w:val="24"/>
            </w:rPr>
            <w:fldChar w:fldCharType="separate"/>
          </w:r>
          <w:hyperlink w:anchor="_Toc241066012" w:history="1">
            <w:r w:rsidR="005E6F31" w:rsidRPr="00892E1E">
              <w:rPr>
                <w:rStyle w:val="Hyperlink"/>
                <w:szCs w:val="24"/>
                <w:lang w:val="ro-RO"/>
              </w:rPr>
              <w:t>INDEXUL AMENDAMENTELOR</w:t>
            </w:r>
            <w:r w:rsidR="005E6F31" w:rsidRPr="00892E1E">
              <w:rPr>
                <w:webHidden/>
                <w:szCs w:val="24"/>
              </w:rPr>
              <w:tab/>
            </w:r>
            <w:r w:rsidR="005E6F31" w:rsidRPr="00892E1E">
              <w:rPr>
                <w:webHidden/>
                <w:szCs w:val="24"/>
              </w:rPr>
              <w:fldChar w:fldCharType="begin"/>
            </w:r>
            <w:r w:rsidR="005E6F31" w:rsidRPr="00892E1E">
              <w:rPr>
                <w:webHidden/>
                <w:szCs w:val="24"/>
              </w:rPr>
              <w:instrText xml:space="preserve"> PAGEREF _Toc241066012 \h </w:instrText>
            </w:r>
            <w:r w:rsidR="005E6F31" w:rsidRPr="00892E1E">
              <w:rPr>
                <w:webHidden/>
                <w:szCs w:val="24"/>
              </w:rPr>
            </w:r>
            <w:r w:rsidR="005E6F31" w:rsidRPr="00892E1E">
              <w:rPr>
                <w:webHidden/>
                <w:szCs w:val="24"/>
              </w:rPr>
              <w:fldChar w:fldCharType="separate"/>
            </w:r>
            <w:r w:rsidR="00892E1E">
              <w:rPr>
                <w:webHidden/>
                <w:szCs w:val="24"/>
              </w:rPr>
              <w:t>9</w:t>
            </w:r>
            <w:r w:rsidR="005E6F31" w:rsidRPr="00892E1E">
              <w:rPr>
                <w:webHidden/>
                <w:szCs w:val="24"/>
              </w:rPr>
              <w:fldChar w:fldCharType="end"/>
            </w:r>
          </w:hyperlink>
        </w:p>
        <w:p w14:paraId="5526F360" w14:textId="20E6423A" w:rsidR="005E6F31" w:rsidRPr="00892E1E" w:rsidRDefault="005E6F31">
          <w:pPr>
            <w:pStyle w:val="TOC1"/>
            <w:rPr>
              <w:rFonts w:eastAsiaTheme="minorEastAsia"/>
              <w:kern w:val="2"/>
              <w:szCs w:val="24"/>
              <w:lang w:val="en-US" w:eastAsia="en-US"/>
              <w14:ligatures w14:val="standardContextual"/>
            </w:rPr>
          </w:pPr>
          <w:hyperlink w:anchor="_Toc241066013" w:history="1">
            <w:r w:rsidRPr="00892E1E">
              <w:rPr>
                <w:rStyle w:val="Hyperlink"/>
                <w:szCs w:val="24"/>
                <w:lang w:val="ro-RO"/>
              </w:rPr>
              <w:t>REGULI  DE  AMENDARE</w:t>
            </w:r>
            <w:r w:rsidRPr="00892E1E">
              <w:rPr>
                <w:webHidden/>
                <w:szCs w:val="24"/>
              </w:rPr>
              <w:tab/>
            </w:r>
            <w:r w:rsidRPr="00892E1E">
              <w:rPr>
                <w:webHidden/>
                <w:szCs w:val="24"/>
              </w:rPr>
              <w:fldChar w:fldCharType="begin"/>
            </w:r>
            <w:r w:rsidRPr="00892E1E">
              <w:rPr>
                <w:webHidden/>
                <w:szCs w:val="24"/>
              </w:rPr>
              <w:instrText xml:space="preserve"> PAGEREF _Toc241066013 \h </w:instrText>
            </w:r>
            <w:r w:rsidRPr="00892E1E">
              <w:rPr>
                <w:webHidden/>
                <w:szCs w:val="24"/>
              </w:rPr>
            </w:r>
            <w:r w:rsidRPr="00892E1E">
              <w:rPr>
                <w:webHidden/>
                <w:szCs w:val="24"/>
              </w:rPr>
              <w:fldChar w:fldCharType="separate"/>
            </w:r>
            <w:r w:rsidR="00892E1E">
              <w:rPr>
                <w:webHidden/>
                <w:szCs w:val="24"/>
              </w:rPr>
              <w:t>10</w:t>
            </w:r>
            <w:r w:rsidRPr="00892E1E">
              <w:rPr>
                <w:webHidden/>
                <w:szCs w:val="24"/>
              </w:rPr>
              <w:fldChar w:fldCharType="end"/>
            </w:r>
          </w:hyperlink>
        </w:p>
        <w:p w14:paraId="5253831D" w14:textId="304012A9" w:rsidR="005E6F31" w:rsidRPr="00892E1E" w:rsidRDefault="005E6F31">
          <w:pPr>
            <w:pStyle w:val="TOC1"/>
            <w:rPr>
              <w:rFonts w:eastAsiaTheme="minorEastAsia"/>
              <w:kern w:val="2"/>
              <w:szCs w:val="24"/>
              <w:lang w:val="en-US" w:eastAsia="en-US"/>
              <w14:ligatures w14:val="standardContextual"/>
            </w:rPr>
          </w:pPr>
          <w:hyperlink w:anchor="_Toc241066014" w:history="1">
            <w:r w:rsidRPr="00892E1E">
              <w:rPr>
                <w:rStyle w:val="Hyperlink"/>
                <w:szCs w:val="24"/>
                <w:lang w:val="ro-RO"/>
              </w:rPr>
              <w:t>CAPITOLUL 1. PREVEDERI GENERALE</w:t>
            </w:r>
            <w:r w:rsidRPr="00892E1E">
              <w:rPr>
                <w:webHidden/>
                <w:szCs w:val="24"/>
              </w:rPr>
              <w:tab/>
            </w:r>
            <w:r w:rsidRPr="00892E1E">
              <w:rPr>
                <w:webHidden/>
                <w:szCs w:val="24"/>
              </w:rPr>
              <w:fldChar w:fldCharType="begin"/>
            </w:r>
            <w:r w:rsidRPr="00892E1E">
              <w:rPr>
                <w:webHidden/>
                <w:szCs w:val="24"/>
              </w:rPr>
              <w:instrText xml:space="preserve"> PAGEREF _Toc241066014 \h </w:instrText>
            </w:r>
            <w:r w:rsidRPr="00892E1E">
              <w:rPr>
                <w:webHidden/>
                <w:szCs w:val="24"/>
              </w:rPr>
            </w:r>
            <w:r w:rsidRPr="00892E1E">
              <w:rPr>
                <w:webHidden/>
                <w:szCs w:val="24"/>
              </w:rPr>
              <w:fldChar w:fldCharType="separate"/>
            </w:r>
            <w:r w:rsidR="00892E1E">
              <w:rPr>
                <w:webHidden/>
                <w:szCs w:val="24"/>
              </w:rPr>
              <w:t>11</w:t>
            </w:r>
            <w:r w:rsidRPr="00892E1E">
              <w:rPr>
                <w:webHidden/>
                <w:szCs w:val="24"/>
              </w:rPr>
              <w:fldChar w:fldCharType="end"/>
            </w:r>
          </w:hyperlink>
        </w:p>
        <w:p w14:paraId="68D9D62F" w14:textId="40C72422" w:rsidR="005E6F31" w:rsidRPr="00892E1E" w:rsidRDefault="005E6F31">
          <w:pPr>
            <w:pStyle w:val="TOC2"/>
            <w:tabs>
              <w:tab w:val="left" w:pos="880"/>
            </w:tabs>
            <w:rPr>
              <w:rFonts w:ascii="Times New Roman" w:hAnsi="Times New Roman"/>
              <w:kern w:val="2"/>
              <w:sz w:val="24"/>
              <w:szCs w:val="24"/>
              <w14:ligatures w14:val="standardContextual"/>
            </w:rPr>
          </w:pPr>
          <w:hyperlink w:anchor="_Toc241066015" w:history="1">
            <w:r w:rsidRPr="00892E1E">
              <w:rPr>
                <w:rStyle w:val="Hyperlink"/>
                <w:rFonts w:ascii="Times New Roman" w:hAnsi="Times New Roman"/>
                <w:sz w:val="24"/>
                <w:szCs w:val="24"/>
              </w:rPr>
              <w:t>1.1.</w:t>
            </w:r>
            <w:r w:rsidRPr="00892E1E">
              <w:rPr>
                <w:rFonts w:ascii="Times New Roman" w:hAnsi="Times New Roman"/>
                <w:kern w:val="2"/>
                <w:sz w:val="24"/>
                <w:szCs w:val="24"/>
                <w14:ligatures w14:val="standardContextual"/>
              </w:rPr>
              <w:tab/>
            </w:r>
            <w:r w:rsidRPr="00892E1E">
              <w:rPr>
                <w:rStyle w:val="Hyperlink"/>
                <w:rFonts w:ascii="Times New Roman" w:hAnsi="Times New Roman"/>
                <w:sz w:val="24"/>
                <w:szCs w:val="24"/>
              </w:rPr>
              <w:t>Scopul</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_Toc241066015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w:t>
            </w:r>
            <w:r w:rsidRPr="00892E1E">
              <w:rPr>
                <w:rFonts w:ascii="Times New Roman" w:hAnsi="Times New Roman"/>
                <w:webHidden/>
                <w:sz w:val="24"/>
                <w:szCs w:val="24"/>
              </w:rPr>
              <w:fldChar w:fldCharType="end"/>
            </w:r>
          </w:hyperlink>
        </w:p>
        <w:p w14:paraId="07FAC370" w14:textId="56DF09B5" w:rsidR="005E6F31" w:rsidRPr="00892E1E" w:rsidRDefault="005E6F31">
          <w:pPr>
            <w:pStyle w:val="TOC2"/>
            <w:tabs>
              <w:tab w:val="left" w:pos="880"/>
            </w:tabs>
            <w:rPr>
              <w:rFonts w:ascii="Times New Roman" w:hAnsi="Times New Roman"/>
              <w:kern w:val="2"/>
              <w:sz w:val="24"/>
              <w:szCs w:val="24"/>
              <w14:ligatures w14:val="standardContextual"/>
            </w:rPr>
          </w:pPr>
          <w:hyperlink w:anchor="_Toc241066016" w:history="1">
            <w:r w:rsidRPr="00892E1E">
              <w:rPr>
                <w:rStyle w:val="Hyperlink"/>
                <w:rFonts w:ascii="Times New Roman" w:hAnsi="Times New Roman"/>
                <w:sz w:val="24"/>
                <w:szCs w:val="24"/>
              </w:rPr>
              <w:t>1.2.</w:t>
            </w:r>
            <w:r w:rsidRPr="00892E1E">
              <w:rPr>
                <w:rFonts w:ascii="Times New Roman" w:hAnsi="Times New Roman"/>
                <w:kern w:val="2"/>
                <w:sz w:val="24"/>
                <w:szCs w:val="24"/>
                <w14:ligatures w14:val="standardContextual"/>
              </w:rPr>
              <w:tab/>
            </w:r>
            <w:r w:rsidRPr="00892E1E">
              <w:rPr>
                <w:rStyle w:val="Hyperlink"/>
                <w:rFonts w:ascii="Times New Roman" w:hAnsi="Times New Roman"/>
                <w:sz w:val="24"/>
                <w:szCs w:val="24"/>
              </w:rPr>
              <w:t>Domeniul de aplicare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_Toc241066016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w:t>
            </w:r>
            <w:r w:rsidRPr="00892E1E">
              <w:rPr>
                <w:rFonts w:ascii="Times New Roman" w:hAnsi="Times New Roman"/>
                <w:webHidden/>
                <w:sz w:val="24"/>
                <w:szCs w:val="24"/>
              </w:rPr>
              <w:fldChar w:fldCharType="end"/>
            </w:r>
          </w:hyperlink>
        </w:p>
        <w:p w14:paraId="3A28448E" w14:textId="7E2875F7" w:rsidR="005E6F31" w:rsidRPr="00892E1E" w:rsidRDefault="005E6F31">
          <w:pPr>
            <w:pStyle w:val="TOC2"/>
            <w:tabs>
              <w:tab w:val="left" w:pos="880"/>
            </w:tabs>
            <w:rPr>
              <w:rFonts w:ascii="Times New Roman" w:hAnsi="Times New Roman"/>
              <w:kern w:val="2"/>
              <w:sz w:val="24"/>
              <w:szCs w:val="24"/>
              <w14:ligatures w14:val="standardContextual"/>
            </w:rPr>
          </w:pPr>
          <w:hyperlink w:anchor="_Toc241066017" w:history="1">
            <w:r w:rsidRPr="00892E1E">
              <w:rPr>
                <w:rStyle w:val="Hyperlink"/>
                <w:rFonts w:ascii="Times New Roman" w:hAnsi="Times New Roman"/>
                <w:bCs/>
                <w:sz w:val="24"/>
                <w:szCs w:val="24"/>
                <w:lang w:val="ro-RO"/>
              </w:rPr>
              <w:t>1.3.</w:t>
            </w:r>
            <w:r w:rsidRPr="00892E1E">
              <w:rPr>
                <w:rFonts w:ascii="Times New Roman" w:hAnsi="Times New Roman"/>
                <w:kern w:val="2"/>
                <w:sz w:val="24"/>
                <w:szCs w:val="24"/>
                <w14:ligatures w14:val="standardContextual"/>
              </w:rPr>
              <w:tab/>
            </w:r>
            <w:r w:rsidRPr="00892E1E">
              <w:rPr>
                <w:rStyle w:val="Hyperlink"/>
                <w:rFonts w:ascii="Times New Roman" w:hAnsi="Times New Roman"/>
                <w:sz w:val="24"/>
                <w:szCs w:val="24"/>
              </w:rPr>
              <w:t>Definiții și abrevieri</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_Toc241066017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w:t>
            </w:r>
            <w:r w:rsidRPr="00892E1E">
              <w:rPr>
                <w:rFonts w:ascii="Times New Roman" w:hAnsi="Times New Roman"/>
                <w:webHidden/>
                <w:sz w:val="24"/>
                <w:szCs w:val="24"/>
              </w:rPr>
              <w:fldChar w:fldCharType="end"/>
            </w:r>
          </w:hyperlink>
        </w:p>
        <w:p w14:paraId="35DABD26" w14:textId="1D82D2B6" w:rsidR="005E6F31" w:rsidRPr="00892E1E" w:rsidRDefault="005E6F31">
          <w:pPr>
            <w:pStyle w:val="TOC2"/>
            <w:tabs>
              <w:tab w:val="left" w:pos="880"/>
            </w:tabs>
            <w:rPr>
              <w:rFonts w:ascii="Times New Roman" w:hAnsi="Times New Roman"/>
              <w:kern w:val="2"/>
              <w:sz w:val="24"/>
              <w:szCs w:val="24"/>
              <w14:ligatures w14:val="standardContextual"/>
            </w:rPr>
          </w:pPr>
          <w:hyperlink w:anchor="_Toc241066018" w:history="1">
            <w:r w:rsidRPr="00892E1E">
              <w:rPr>
                <w:rStyle w:val="Hyperlink"/>
                <w:rFonts w:ascii="Times New Roman" w:hAnsi="Times New Roman"/>
                <w:sz w:val="24"/>
                <w:szCs w:val="24"/>
                <w:lang w:val="fr-FR"/>
              </w:rPr>
              <w:t>1.4.</w:t>
            </w:r>
            <w:r w:rsidRPr="00892E1E">
              <w:rPr>
                <w:rFonts w:ascii="Times New Roman" w:hAnsi="Times New Roman"/>
                <w:kern w:val="2"/>
                <w:sz w:val="24"/>
                <w:szCs w:val="24"/>
                <w14:ligatures w14:val="standardContextual"/>
              </w:rPr>
              <w:tab/>
            </w:r>
            <w:r w:rsidRPr="00892E1E">
              <w:rPr>
                <w:rStyle w:val="Hyperlink"/>
                <w:rFonts w:ascii="Times New Roman" w:hAnsi="Times New Roman"/>
                <w:sz w:val="24"/>
                <w:szCs w:val="24"/>
                <w:lang w:val="fr-FR"/>
              </w:rPr>
              <w:t>Documente de referință (internaționale, naționale, interne)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_Toc241066018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w:t>
            </w:r>
            <w:r w:rsidRPr="00892E1E">
              <w:rPr>
                <w:rFonts w:ascii="Times New Roman" w:hAnsi="Times New Roman"/>
                <w:webHidden/>
                <w:sz w:val="24"/>
                <w:szCs w:val="24"/>
              </w:rPr>
              <w:fldChar w:fldCharType="end"/>
            </w:r>
          </w:hyperlink>
        </w:p>
        <w:p w14:paraId="2397322C" w14:textId="5A3143EB" w:rsidR="005E6F31" w:rsidRPr="00892E1E" w:rsidRDefault="005E6F31">
          <w:pPr>
            <w:pStyle w:val="TOC1"/>
            <w:rPr>
              <w:rFonts w:eastAsiaTheme="minorEastAsia"/>
              <w:kern w:val="2"/>
              <w:szCs w:val="24"/>
              <w:lang w:val="en-US" w:eastAsia="en-US"/>
              <w14:ligatures w14:val="standardContextual"/>
            </w:rPr>
          </w:pPr>
          <w:hyperlink w:anchor="_Toc241066019" w:history="1">
            <w:r w:rsidRPr="00892E1E">
              <w:rPr>
                <w:rStyle w:val="Hyperlink"/>
                <w:szCs w:val="24"/>
                <w:lang w:val="en-US"/>
              </w:rPr>
              <w:t>AMC/GM TO ANNEX II (PART-145)</w:t>
            </w:r>
            <w:r w:rsidRPr="00892E1E">
              <w:rPr>
                <w:webHidden/>
                <w:szCs w:val="24"/>
              </w:rPr>
              <w:tab/>
            </w:r>
            <w:r w:rsidRPr="00892E1E">
              <w:rPr>
                <w:webHidden/>
                <w:szCs w:val="24"/>
              </w:rPr>
              <w:fldChar w:fldCharType="begin"/>
            </w:r>
            <w:r w:rsidRPr="00892E1E">
              <w:rPr>
                <w:webHidden/>
                <w:szCs w:val="24"/>
              </w:rPr>
              <w:instrText xml:space="preserve"> PAGEREF _Toc241066019 \h </w:instrText>
            </w:r>
            <w:r w:rsidRPr="00892E1E">
              <w:rPr>
                <w:webHidden/>
                <w:szCs w:val="24"/>
              </w:rPr>
            </w:r>
            <w:r w:rsidRPr="00892E1E">
              <w:rPr>
                <w:webHidden/>
                <w:szCs w:val="24"/>
              </w:rPr>
              <w:fldChar w:fldCharType="separate"/>
            </w:r>
            <w:r w:rsidR="00892E1E">
              <w:rPr>
                <w:webHidden/>
                <w:szCs w:val="24"/>
              </w:rPr>
              <w:t>12</w:t>
            </w:r>
            <w:r w:rsidRPr="00892E1E">
              <w:rPr>
                <w:webHidden/>
                <w:szCs w:val="24"/>
              </w:rPr>
              <w:fldChar w:fldCharType="end"/>
            </w:r>
          </w:hyperlink>
        </w:p>
        <w:p w14:paraId="7A6C93E1" w14:textId="4CE1D282" w:rsidR="005E6F31" w:rsidRPr="00892E1E" w:rsidRDefault="005E6F31">
          <w:pPr>
            <w:pStyle w:val="TOC1"/>
            <w:rPr>
              <w:rFonts w:eastAsiaTheme="minorEastAsia"/>
              <w:kern w:val="2"/>
              <w:szCs w:val="24"/>
              <w:lang w:val="en-US" w:eastAsia="en-US"/>
              <w14:ligatures w14:val="standardContextual"/>
            </w:rPr>
          </w:pPr>
          <w:hyperlink w:anchor="_Toc241066020" w:history="1">
            <w:r w:rsidRPr="00892E1E">
              <w:rPr>
                <w:rStyle w:val="Hyperlink"/>
                <w:szCs w:val="24"/>
                <w:lang w:val="en-US"/>
              </w:rPr>
              <w:t>GENERAL REQUIREMENTS</w:t>
            </w:r>
            <w:r w:rsidRPr="00892E1E">
              <w:rPr>
                <w:webHidden/>
                <w:szCs w:val="24"/>
              </w:rPr>
              <w:tab/>
            </w:r>
            <w:r w:rsidRPr="00892E1E">
              <w:rPr>
                <w:webHidden/>
                <w:szCs w:val="24"/>
              </w:rPr>
              <w:fldChar w:fldCharType="begin"/>
            </w:r>
            <w:r w:rsidRPr="00892E1E">
              <w:rPr>
                <w:webHidden/>
                <w:szCs w:val="24"/>
              </w:rPr>
              <w:instrText xml:space="preserve"> PAGEREF _Toc241066020 \h </w:instrText>
            </w:r>
            <w:r w:rsidRPr="00892E1E">
              <w:rPr>
                <w:webHidden/>
                <w:szCs w:val="24"/>
              </w:rPr>
            </w:r>
            <w:r w:rsidRPr="00892E1E">
              <w:rPr>
                <w:webHidden/>
                <w:szCs w:val="24"/>
              </w:rPr>
              <w:fldChar w:fldCharType="separate"/>
            </w:r>
            <w:r w:rsidR="00892E1E">
              <w:rPr>
                <w:webHidden/>
                <w:szCs w:val="24"/>
              </w:rPr>
              <w:t>12</w:t>
            </w:r>
            <w:r w:rsidRPr="00892E1E">
              <w:rPr>
                <w:webHidden/>
                <w:szCs w:val="24"/>
              </w:rPr>
              <w:fldChar w:fldCharType="end"/>
            </w:r>
          </w:hyperlink>
        </w:p>
        <w:p w14:paraId="32720D09" w14:textId="083104EB" w:rsidR="005E6F31" w:rsidRPr="00892E1E" w:rsidRDefault="005E6F31">
          <w:pPr>
            <w:pStyle w:val="TOC2"/>
            <w:rPr>
              <w:rFonts w:ascii="Times New Roman" w:hAnsi="Times New Roman"/>
              <w:kern w:val="2"/>
              <w:sz w:val="24"/>
              <w:szCs w:val="24"/>
              <w14:ligatures w14:val="standardContextual"/>
            </w:rPr>
          </w:pPr>
          <w:hyperlink w:anchor="_Toc241066021" w:history="1">
            <w:r w:rsidRPr="00892E1E">
              <w:rPr>
                <w:rStyle w:val="Hyperlink"/>
                <w:rFonts w:ascii="Times New Roman" w:hAnsi="Times New Roman"/>
                <w:sz w:val="24"/>
                <w:szCs w:val="24"/>
              </w:rPr>
              <w:t>GM1 to Annex II (Part-145) Definitions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_Toc241066021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12</w:t>
            </w:r>
            <w:r w:rsidRPr="00892E1E">
              <w:rPr>
                <w:rFonts w:ascii="Times New Roman" w:hAnsi="Times New Roman"/>
                <w:webHidden/>
                <w:sz w:val="24"/>
                <w:szCs w:val="24"/>
              </w:rPr>
              <w:fldChar w:fldCharType="end"/>
            </w:r>
          </w:hyperlink>
        </w:p>
        <w:p w14:paraId="5C6AD421" w14:textId="31854ABB" w:rsidR="005E6F31" w:rsidRPr="00892E1E" w:rsidRDefault="005E6F31">
          <w:pPr>
            <w:pStyle w:val="TOC1"/>
            <w:rPr>
              <w:rFonts w:eastAsiaTheme="minorEastAsia"/>
              <w:kern w:val="2"/>
              <w:szCs w:val="24"/>
              <w:lang w:val="en-US" w:eastAsia="en-US"/>
              <w14:ligatures w14:val="standardContextual"/>
            </w:rPr>
          </w:pPr>
          <w:hyperlink w:anchor="_Toc241066022" w:history="1">
            <w:r w:rsidRPr="00892E1E">
              <w:rPr>
                <w:rStyle w:val="Hyperlink"/>
                <w:szCs w:val="24"/>
                <w:lang w:val="en-US"/>
              </w:rPr>
              <w:t>SECTION A - TECHNICAL AND ORGANISATION REQUIREMENTS</w:t>
            </w:r>
            <w:r w:rsidRPr="00892E1E">
              <w:rPr>
                <w:webHidden/>
                <w:szCs w:val="24"/>
              </w:rPr>
              <w:tab/>
            </w:r>
            <w:r w:rsidRPr="00892E1E">
              <w:rPr>
                <w:webHidden/>
                <w:szCs w:val="24"/>
              </w:rPr>
              <w:fldChar w:fldCharType="begin"/>
            </w:r>
            <w:r w:rsidRPr="00892E1E">
              <w:rPr>
                <w:webHidden/>
                <w:szCs w:val="24"/>
              </w:rPr>
              <w:instrText xml:space="preserve"> PAGEREF _Toc241066022 \h </w:instrText>
            </w:r>
            <w:r w:rsidRPr="00892E1E">
              <w:rPr>
                <w:webHidden/>
                <w:szCs w:val="24"/>
              </w:rPr>
            </w:r>
            <w:r w:rsidRPr="00892E1E">
              <w:rPr>
                <w:webHidden/>
                <w:szCs w:val="24"/>
              </w:rPr>
              <w:fldChar w:fldCharType="separate"/>
            </w:r>
            <w:r w:rsidR="00892E1E">
              <w:rPr>
                <w:webHidden/>
                <w:szCs w:val="24"/>
              </w:rPr>
              <w:t>14</w:t>
            </w:r>
            <w:r w:rsidRPr="00892E1E">
              <w:rPr>
                <w:webHidden/>
                <w:szCs w:val="24"/>
              </w:rPr>
              <w:fldChar w:fldCharType="end"/>
            </w:r>
          </w:hyperlink>
        </w:p>
        <w:p w14:paraId="0958E93B" w14:textId="0847278A" w:rsidR="005E6F31" w:rsidRPr="00892E1E" w:rsidRDefault="005E6F31">
          <w:pPr>
            <w:pStyle w:val="TOC2"/>
            <w:rPr>
              <w:rFonts w:ascii="Times New Roman" w:hAnsi="Times New Roman"/>
              <w:kern w:val="2"/>
              <w:sz w:val="24"/>
              <w:szCs w:val="24"/>
              <w14:ligatures w14:val="standardContextual"/>
            </w:rPr>
          </w:pPr>
          <w:hyperlink w:anchor="_Toc241066023" w:history="1">
            <w:r w:rsidRPr="00892E1E">
              <w:rPr>
                <w:rStyle w:val="Hyperlink"/>
                <w:rFonts w:ascii="Times New Roman" w:hAnsi="Times New Roman"/>
                <w:sz w:val="24"/>
                <w:szCs w:val="24"/>
              </w:rPr>
              <w:t>AMC1 145.A.10 Scope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_Toc241066023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14</w:t>
            </w:r>
            <w:r w:rsidRPr="00892E1E">
              <w:rPr>
                <w:rFonts w:ascii="Times New Roman" w:hAnsi="Times New Roman"/>
                <w:webHidden/>
                <w:sz w:val="24"/>
                <w:szCs w:val="24"/>
              </w:rPr>
              <w:fldChar w:fldCharType="end"/>
            </w:r>
          </w:hyperlink>
        </w:p>
        <w:p w14:paraId="32F83DD9" w14:textId="09C66032" w:rsidR="005E6F31" w:rsidRPr="00892E1E" w:rsidRDefault="005E6F31">
          <w:pPr>
            <w:pStyle w:val="TOC2"/>
            <w:rPr>
              <w:rFonts w:ascii="Times New Roman" w:hAnsi="Times New Roman"/>
              <w:kern w:val="2"/>
              <w:sz w:val="24"/>
              <w:szCs w:val="24"/>
              <w14:ligatures w14:val="standardContextual"/>
            </w:rPr>
          </w:pPr>
          <w:hyperlink w:anchor="_Toc241066024" w:history="1">
            <w:r w:rsidRPr="00892E1E">
              <w:rPr>
                <w:rStyle w:val="Hyperlink"/>
                <w:rFonts w:ascii="Times New Roman" w:hAnsi="Times New Roman"/>
                <w:sz w:val="24"/>
                <w:szCs w:val="24"/>
              </w:rPr>
              <w:t>GM1 145.A.10 Scope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_Toc241066024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15</w:t>
            </w:r>
            <w:r w:rsidRPr="00892E1E">
              <w:rPr>
                <w:rFonts w:ascii="Times New Roman" w:hAnsi="Times New Roman"/>
                <w:webHidden/>
                <w:sz w:val="24"/>
                <w:szCs w:val="24"/>
              </w:rPr>
              <w:fldChar w:fldCharType="end"/>
            </w:r>
          </w:hyperlink>
        </w:p>
        <w:p w14:paraId="78697742" w14:textId="314E9EAB" w:rsidR="005E6F31" w:rsidRPr="00892E1E" w:rsidRDefault="005E6F31">
          <w:pPr>
            <w:pStyle w:val="TOC2"/>
            <w:rPr>
              <w:rFonts w:ascii="Times New Roman" w:hAnsi="Times New Roman"/>
              <w:kern w:val="2"/>
              <w:sz w:val="24"/>
              <w:szCs w:val="24"/>
              <w14:ligatures w14:val="standardContextual"/>
            </w:rPr>
          </w:pPr>
          <w:hyperlink w:anchor="_Toc241066025" w:history="1">
            <w:r w:rsidRPr="00892E1E">
              <w:rPr>
                <w:rStyle w:val="Hyperlink"/>
                <w:rFonts w:ascii="Times New Roman" w:hAnsi="Times New Roman"/>
                <w:sz w:val="24"/>
                <w:szCs w:val="24"/>
              </w:rPr>
              <w:t>AMC1 145.A.15 Application for an organisation certificate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_Toc241066025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16</w:t>
            </w:r>
            <w:r w:rsidRPr="00892E1E">
              <w:rPr>
                <w:rFonts w:ascii="Times New Roman" w:hAnsi="Times New Roman"/>
                <w:webHidden/>
                <w:sz w:val="24"/>
                <w:szCs w:val="24"/>
              </w:rPr>
              <w:fldChar w:fldCharType="end"/>
            </w:r>
          </w:hyperlink>
        </w:p>
        <w:p w14:paraId="01111F7C" w14:textId="4D7CA056" w:rsidR="005E6F31" w:rsidRPr="00892E1E" w:rsidRDefault="005E6F31">
          <w:pPr>
            <w:pStyle w:val="TOC2"/>
            <w:rPr>
              <w:rFonts w:ascii="Times New Roman" w:hAnsi="Times New Roman"/>
              <w:kern w:val="2"/>
              <w:sz w:val="24"/>
              <w:szCs w:val="24"/>
              <w14:ligatures w14:val="standardContextual"/>
            </w:rPr>
          </w:pPr>
          <w:hyperlink w:anchor="_Toc241066026" w:history="1">
            <w:r w:rsidRPr="00892E1E">
              <w:rPr>
                <w:rStyle w:val="Hyperlink"/>
                <w:rFonts w:ascii="Times New Roman" w:hAnsi="Times New Roman"/>
                <w:sz w:val="24"/>
                <w:szCs w:val="24"/>
              </w:rPr>
              <w:t>AMC2 145.A.15 Application for an organisation certificate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_Toc241066026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16</w:t>
            </w:r>
            <w:r w:rsidRPr="00892E1E">
              <w:rPr>
                <w:rFonts w:ascii="Times New Roman" w:hAnsi="Times New Roman"/>
                <w:webHidden/>
                <w:sz w:val="24"/>
                <w:szCs w:val="24"/>
              </w:rPr>
              <w:fldChar w:fldCharType="end"/>
            </w:r>
          </w:hyperlink>
        </w:p>
        <w:p w14:paraId="08F178F2" w14:textId="0100A2D2" w:rsidR="005E6F31" w:rsidRPr="00892E1E" w:rsidRDefault="005E6F31">
          <w:pPr>
            <w:pStyle w:val="TOC2"/>
            <w:rPr>
              <w:rFonts w:ascii="Times New Roman" w:hAnsi="Times New Roman"/>
              <w:kern w:val="2"/>
              <w:sz w:val="24"/>
              <w:szCs w:val="24"/>
              <w14:ligatures w14:val="standardContextual"/>
            </w:rPr>
          </w:pPr>
          <w:hyperlink w:anchor="_Toc241066027" w:history="1">
            <w:r w:rsidRPr="00892E1E">
              <w:rPr>
                <w:rStyle w:val="Hyperlink"/>
                <w:rFonts w:ascii="Times New Roman" w:hAnsi="Times New Roman"/>
                <w:sz w:val="24"/>
                <w:szCs w:val="24"/>
              </w:rPr>
              <w:t>AMC1 145.A.20 Terms of approval and scope of work</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_Toc241066027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17</w:t>
            </w:r>
            <w:r w:rsidRPr="00892E1E">
              <w:rPr>
                <w:rFonts w:ascii="Times New Roman" w:hAnsi="Times New Roman"/>
                <w:webHidden/>
                <w:sz w:val="24"/>
                <w:szCs w:val="24"/>
              </w:rPr>
              <w:fldChar w:fldCharType="end"/>
            </w:r>
          </w:hyperlink>
        </w:p>
        <w:p w14:paraId="32B9856D" w14:textId="24CB633F" w:rsidR="005E6F31" w:rsidRPr="00892E1E" w:rsidRDefault="005E6F31">
          <w:pPr>
            <w:pStyle w:val="TOC2"/>
            <w:rPr>
              <w:rFonts w:ascii="Times New Roman" w:hAnsi="Times New Roman"/>
              <w:kern w:val="2"/>
              <w:sz w:val="24"/>
              <w:szCs w:val="24"/>
              <w14:ligatures w14:val="standardContextual"/>
            </w:rPr>
          </w:pPr>
          <w:hyperlink w:anchor="_Toc241066028" w:history="1">
            <w:r w:rsidRPr="00892E1E">
              <w:rPr>
                <w:rStyle w:val="Hyperlink"/>
                <w:rFonts w:ascii="Times New Roman" w:hAnsi="Times New Roman"/>
                <w:sz w:val="24"/>
                <w:szCs w:val="24"/>
              </w:rPr>
              <w:t>AMC2 145.A.20 Terms of approval and scope of work</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_Toc241066028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17</w:t>
            </w:r>
            <w:r w:rsidRPr="00892E1E">
              <w:rPr>
                <w:rFonts w:ascii="Times New Roman" w:hAnsi="Times New Roman"/>
                <w:webHidden/>
                <w:sz w:val="24"/>
                <w:szCs w:val="24"/>
              </w:rPr>
              <w:fldChar w:fldCharType="end"/>
            </w:r>
          </w:hyperlink>
        </w:p>
        <w:p w14:paraId="12407DB4" w14:textId="2449E044" w:rsidR="005E6F31" w:rsidRPr="00892E1E" w:rsidRDefault="005E6F31">
          <w:pPr>
            <w:pStyle w:val="TOC2"/>
            <w:rPr>
              <w:rFonts w:ascii="Times New Roman" w:hAnsi="Times New Roman"/>
              <w:kern w:val="2"/>
              <w:sz w:val="24"/>
              <w:szCs w:val="24"/>
              <w14:ligatures w14:val="standardContextual"/>
            </w:rPr>
          </w:pPr>
          <w:hyperlink w:anchor="_Toc241066029" w:history="1">
            <w:r w:rsidRPr="00892E1E">
              <w:rPr>
                <w:rStyle w:val="Hyperlink"/>
                <w:rFonts w:ascii="Times New Roman" w:hAnsi="Times New Roman"/>
                <w:sz w:val="24"/>
                <w:szCs w:val="24"/>
              </w:rPr>
              <w:t>AMC1 145.A.25(a) Facility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_Toc241066029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18</w:t>
            </w:r>
            <w:r w:rsidRPr="00892E1E">
              <w:rPr>
                <w:rFonts w:ascii="Times New Roman" w:hAnsi="Times New Roman"/>
                <w:webHidden/>
                <w:sz w:val="24"/>
                <w:szCs w:val="24"/>
              </w:rPr>
              <w:fldChar w:fldCharType="end"/>
            </w:r>
          </w:hyperlink>
        </w:p>
        <w:p w14:paraId="4F232F14" w14:textId="027EE4BA" w:rsidR="005E6F31" w:rsidRPr="00892E1E" w:rsidRDefault="005E6F31">
          <w:pPr>
            <w:pStyle w:val="TOC2"/>
            <w:rPr>
              <w:rFonts w:ascii="Times New Roman" w:hAnsi="Times New Roman"/>
              <w:kern w:val="2"/>
              <w:sz w:val="24"/>
              <w:szCs w:val="24"/>
              <w14:ligatures w14:val="standardContextual"/>
            </w:rPr>
          </w:pPr>
          <w:hyperlink w:anchor="_Toc241066030" w:history="1">
            <w:r w:rsidRPr="00892E1E">
              <w:rPr>
                <w:rStyle w:val="Hyperlink"/>
                <w:rFonts w:ascii="Times New Roman" w:hAnsi="Times New Roman"/>
                <w:sz w:val="24"/>
                <w:szCs w:val="24"/>
              </w:rPr>
              <w:t>AMC 145.A.25(b) Facility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18</w:t>
            </w:r>
            <w:r w:rsidRPr="00892E1E">
              <w:rPr>
                <w:rFonts w:ascii="Times New Roman" w:hAnsi="Times New Roman"/>
                <w:webHidden/>
                <w:sz w:val="24"/>
                <w:szCs w:val="24"/>
              </w:rPr>
              <w:fldChar w:fldCharType="end"/>
            </w:r>
          </w:hyperlink>
        </w:p>
        <w:p w14:paraId="13D1FBCE" w14:textId="3BAA8A88" w:rsidR="005E6F31" w:rsidRPr="00892E1E" w:rsidRDefault="005E6F31">
          <w:pPr>
            <w:pStyle w:val="TOC2"/>
            <w:rPr>
              <w:rFonts w:ascii="Times New Roman" w:hAnsi="Times New Roman"/>
              <w:kern w:val="2"/>
              <w:sz w:val="24"/>
              <w:szCs w:val="24"/>
              <w14:ligatures w14:val="standardContextual"/>
            </w:rPr>
          </w:pPr>
          <w:hyperlink w:anchor="_Toc241066031" w:history="1">
            <w:r w:rsidRPr="00892E1E">
              <w:rPr>
                <w:rStyle w:val="Hyperlink"/>
                <w:rFonts w:ascii="Times New Roman" w:hAnsi="Times New Roman"/>
                <w:sz w:val="24"/>
                <w:szCs w:val="24"/>
              </w:rPr>
              <w:t>AMC 145.A.25(d) Facility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18</w:t>
            </w:r>
            <w:r w:rsidRPr="00892E1E">
              <w:rPr>
                <w:rFonts w:ascii="Times New Roman" w:hAnsi="Times New Roman"/>
                <w:webHidden/>
                <w:sz w:val="24"/>
                <w:szCs w:val="24"/>
              </w:rPr>
              <w:fldChar w:fldCharType="end"/>
            </w:r>
          </w:hyperlink>
        </w:p>
        <w:p w14:paraId="79B5CE6C" w14:textId="184EF29E" w:rsidR="005E6F31" w:rsidRPr="00892E1E" w:rsidRDefault="005E6F31">
          <w:pPr>
            <w:pStyle w:val="TOC2"/>
            <w:rPr>
              <w:rFonts w:ascii="Times New Roman" w:hAnsi="Times New Roman"/>
              <w:kern w:val="2"/>
              <w:sz w:val="24"/>
              <w:szCs w:val="24"/>
              <w14:ligatures w14:val="standardContextual"/>
            </w:rPr>
          </w:pPr>
          <w:hyperlink w:anchor="_Toc241066032" w:history="1">
            <w:r w:rsidRPr="00892E1E">
              <w:rPr>
                <w:rStyle w:val="Hyperlink"/>
                <w:rFonts w:ascii="Times New Roman" w:hAnsi="Times New Roman"/>
                <w:sz w:val="24"/>
                <w:szCs w:val="24"/>
              </w:rPr>
              <w:t>AMC1 145.A.30(a)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18</w:t>
            </w:r>
            <w:r w:rsidRPr="00892E1E">
              <w:rPr>
                <w:rFonts w:ascii="Times New Roman" w:hAnsi="Times New Roman"/>
                <w:webHidden/>
                <w:sz w:val="24"/>
                <w:szCs w:val="24"/>
              </w:rPr>
              <w:fldChar w:fldCharType="end"/>
            </w:r>
          </w:hyperlink>
        </w:p>
        <w:p w14:paraId="4EBCF51A" w14:textId="4CC3A898" w:rsidR="005E6F31" w:rsidRPr="00892E1E" w:rsidRDefault="005E6F31">
          <w:pPr>
            <w:pStyle w:val="TOC2"/>
            <w:rPr>
              <w:rFonts w:ascii="Times New Roman" w:hAnsi="Times New Roman"/>
              <w:kern w:val="2"/>
              <w:sz w:val="24"/>
              <w:szCs w:val="24"/>
              <w14:ligatures w14:val="standardContextual"/>
            </w:rPr>
          </w:pPr>
          <w:hyperlink w:anchor="_Toc241066033" w:history="1">
            <w:r w:rsidRPr="00892E1E">
              <w:rPr>
                <w:rStyle w:val="Hyperlink"/>
                <w:rFonts w:ascii="Times New Roman" w:hAnsi="Times New Roman"/>
                <w:sz w:val="24"/>
                <w:szCs w:val="24"/>
              </w:rPr>
              <w:t>AMC1 145.A.30(b)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19</w:t>
            </w:r>
            <w:r w:rsidRPr="00892E1E">
              <w:rPr>
                <w:rFonts w:ascii="Times New Roman" w:hAnsi="Times New Roman"/>
                <w:webHidden/>
                <w:sz w:val="24"/>
                <w:szCs w:val="24"/>
              </w:rPr>
              <w:fldChar w:fldCharType="end"/>
            </w:r>
          </w:hyperlink>
        </w:p>
        <w:p w14:paraId="4213C7A1" w14:textId="53989E95" w:rsidR="005E6F31" w:rsidRPr="00892E1E" w:rsidRDefault="005E6F31">
          <w:pPr>
            <w:pStyle w:val="TOC2"/>
            <w:rPr>
              <w:rFonts w:ascii="Times New Roman" w:hAnsi="Times New Roman"/>
              <w:kern w:val="2"/>
              <w:sz w:val="24"/>
              <w:szCs w:val="24"/>
              <w14:ligatures w14:val="standardContextual"/>
            </w:rPr>
          </w:pPr>
          <w:hyperlink w:anchor="_Toc241066034" w:history="1">
            <w:r w:rsidRPr="00892E1E">
              <w:rPr>
                <w:rStyle w:val="Hyperlink"/>
                <w:rFonts w:ascii="Times New Roman" w:hAnsi="Times New Roman"/>
                <w:sz w:val="24"/>
                <w:szCs w:val="24"/>
              </w:rPr>
              <w:t>GM1 145.A.30(b)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20</w:t>
            </w:r>
            <w:r w:rsidRPr="00892E1E">
              <w:rPr>
                <w:rFonts w:ascii="Times New Roman" w:hAnsi="Times New Roman"/>
                <w:webHidden/>
                <w:sz w:val="24"/>
                <w:szCs w:val="24"/>
              </w:rPr>
              <w:fldChar w:fldCharType="end"/>
            </w:r>
          </w:hyperlink>
        </w:p>
        <w:p w14:paraId="0BDE3585" w14:textId="63A545CB" w:rsidR="005E6F31" w:rsidRPr="00892E1E" w:rsidRDefault="005E6F31">
          <w:pPr>
            <w:pStyle w:val="TOC2"/>
            <w:rPr>
              <w:rFonts w:ascii="Times New Roman" w:hAnsi="Times New Roman"/>
              <w:kern w:val="2"/>
              <w:sz w:val="24"/>
              <w:szCs w:val="24"/>
              <w14:ligatures w14:val="standardContextual"/>
            </w:rPr>
          </w:pPr>
          <w:hyperlink w:anchor="_Toc241066035" w:history="1">
            <w:r w:rsidRPr="00892E1E">
              <w:rPr>
                <w:rStyle w:val="Hyperlink"/>
                <w:rFonts w:ascii="Times New Roman" w:hAnsi="Times New Roman"/>
                <w:sz w:val="24"/>
                <w:szCs w:val="24"/>
              </w:rPr>
              <w:t>AMC1 145.A.30(c);(ca)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20</w:t>
            </w:r>
            <w:r w:rsidRPr="00892E1E">
              <w:rPr>
                <w:rFonts w:ascii="Times New Roman" w:hAnsi="Times New Roman"/>
                <w:webHidden/>
                <w:sz w:val="24"/>
                <w:szCs w:val="24"/>
              </w:rPr>
              <w:fldChar w:fldCharType="end"/>
            </w:r>
          </w:hyperlink>
        </w:p>
        <w:p w14:paraId="66B7F479" w14:textId="27200CDE" w:rsidR="005E6F31" w:rsidRPr="00892E1E" w:rsidRDefault="005E6F31">
          <w:pPr>
            <w:pStyle w:val="TOC2"/>
            <w:rPr>
              <w:rFonts w:ascii="Times New Roman" w:hAnsi="Times New Roman"/>
              <w:kern w:val="2"/>
              <w:sz w:val="24"/>
              <w:szCs w:val="24"/>
              <w14:ligatures w14:val="standardContextual"/>
            </w:rPr>
          </w:pPr>
          <w:hyperlink w:anchor="_Toc241066036" w:history="1">
            <w:r w:rsidRPr="00892E1E">
              <w:rPr>
                <w:rStyle w:val="Hyperlink"/>
                <w:rFonts w:ascii="Times New Roman" w:hAnsi="Times New Roman"/>
                <w:sz w:val="24"/>
                <w:szCs w:val="24"/>
              </w:rPr>
              <w:t>GM1 145.A.30(ca)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21</w:t>
            </w:r>
            <w:r w:rsidRPr="00892E1E">
              <w:rPr>
                <w:rFonts w:ascii="Times New Roman" w:hAnsi="Times New Roman"/>
                <w:webHidden/>
                <w:sz w:val="24"/>
                <w:szCs w:val="24"/>
              </w:rPr>
              <w:fldChar w:fldCharType="end"/>
            </w:r>
          </w:hyperlink>
        </w:p>
        <w:p w14:paraId="3A2AB8E6" w14:textId="23019CA5" w:rsidR="005E6F31" w:rsidRPr="00892E1E" w:rsidRDefault="005E6F31">
          <w:pPr>
            <w:pStyle w:val="TOC2"/>
            <w:rPr>
              <w:rFonts w:ascii="Times New Roman" w:hAnsi="Times New Roman"/>
              <w:kern w:val="2"/>
              <w:sz w:val="24"/>
              <w:szCs w:val="24"/>
              <w14:ligatures w14:val="standardContextual"/>
            </w:rPr>
          </w:pPr>
          <w:hyperlink w:anchor="_Toc241066037" w:history="1">
            <w:r w:rsidRPr="00892E1E">
              <w:rPr>
                <w:rStyle w:val="Hyperlink"/>
                <w:rFonts w:ascii="Times New Roman" w:hAnsi="Times New Roman"/>
                <w:sz w:val="24"/>
                <w:szCs w:val="24"/>
              </w:rPr>
              <w:t>GM1 145.A.30(cb)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21</w:t>
            </w:r>
            <w:r w:rsidRPr="00892E1E">
              <w:rPr>
                <w:rFonts w:ascii="Times New Roman" w:hAnsi="Times New Roman"/>
                <w:webHidden/>
                <w:sz w:val="24"/>
                <w:szCs w:val="24"/>
              </w:rPr>
              <w:fldChar w:fldCharType="end"/>
            </w:r>
          </w:hyperlink>
        </w:p>
        <w:p w14:paraId="14041B76" w14:textId="17052787" w:rsidR="005E6F31" w:rsidRPr="00892E1E" w:rsidRDefault="005E6F31">
          <w:pPr>
            <w:pStyle w:val="TOC2"/>
            <w:rPr>
              <w:rFonts w:ascii="Times New Roman" w:hAnsi="Times New Roman"/>
              <w:kern w:val="2"/>
              <w:sz w:val="24"/>
              <w:szCs w:val="24"/>
              <w14:ligatures w14:val="standardContextual"/>
            </w:rPr>
          </w:pPr>
          <w:hyperlink w:anchor="_Toc241066038" w:history="1">
            <w:r w:rsidRPr="00892E1E">
              <w:rPr>
                <w:rStyle w:val="Hyperlink"/>
                <w:rFonts w:ascii="Times New Roman" w:hAnsi="Times New Roman"/>
                <w:sz w:val="24"/>
                <w:szCs w:val="24"/>
              </w:rPr>
              <w:t>AMC1 145.A.30(cc)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21</w:t>
            </w:r>
            <w:r w:rsidRPr="00892E1E">
              <w:rPr>
                <w:rFonts w:ascii="Times New Roman" w:hAnsi="Times New Roman"/>
                <w:webHidden/>
                <w:sz w:val="24"/>
                <w:szCs w:val="24"/>
              </w:rPr>
              <w:fldChar w:fldCharType="end"/>
            </w:r>
          </w:hyperlink>
        </w:p>
        <w:p w14:paraId="7C9E316A" w14:textId="5524BF43" w:rsidR="005E6F31" w:rsidRPr="00892E1E" w:rsidRDefault="005E6F31">
          <w:pPr>
            <w:pStyle w:val="TOC2"/>
            <w:rPr>
              <w:rFonts w:ascii="Times New Roman" w:hAnsi="Times New Roman"/>
              <w:kern w:val="2"/>
              <w:sz w:val="24"/>
              <w:szCs w:val="24"/>
              <w14:ligatures w14:val="standardContextual"/>
            </w:rPr>
          </w:pPr>
          <w:hyperlink w:anchor="_Toc241066039" w:history="1">
            <w:r w:rsidRPr="00892E1E">
              <w:rPr>
                <w:rStyle w:val="Hyperlink"/>
                <w:rFonts w:ascii="Times New Roman" w:hAnsi="Times New Roman"/>
                <w:sz w:val="24"/>
                <w:szCs w:val="24"/>
              </w:rPr>
              <w:t>AMC1 145.A.30(d)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_Toc241066039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22</w:t>
            </w:r>
            <w:r w:rsidRPr="00892E1E">
              <w:rPr>
                <w:rFonts w:ascii="Times New Roman" w:hAnsi="Times New Roman"/>
                <w:webHidden/>
                <w:sz w:val="24"/>
                <w:szCs w:val="24"/>
              </w:rPr>
              <w:fldChar w:fldCharType="end"/>
            </w:r>
          </w:hyperlink>
        </w:p>
        <w:p w14:paraId="5BDAAE83" w14:textId="53C34543" w:rsidR="005E6F31" w:rsidRPr="00892E1E" w:rsidRDefault="005E6F31">
          <w:pPr>
            <w:pStyle w:val="TOC2"/>
            <w:rPr>
              <w:rFonts w:ascii="Times New Roman" w:hAnsi="Times New Roman"/>
              <w:kern w:val="2"/>
              <w:sz w:val="24"/>
              <w:szCs w:val="24"/>
              <w14:ligatures w14:val="standardContextual"/>
            </w:rPr>
          </w:pPr>
          <w:hyperlink w:anchor="_Toc241066040" w:history="1">
            <w:r w:rsidRPr="00892E1E">
              <w:rPr>
                <w:rStyle w:val="Hyperlink"/>
                <w:rFonts w:ascii="Times New Roman" w:hAnsi="Times New Roman"/>
                <w:sz w:val="24"/>
                <w:szCs w:val="24"/>
              </w:rPr>
              <w:t>AMC1 145.A.30(e)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23</w:t>
            </w:r>
            <w:r w:rsidRPr="00892E1E">
              <w:rPr>
                <w:rFonts w:ascii="Times New Roman" w:hAnsi="Times New Roman"/>
                <w:webHidden/>
                <w:sz w:val="24"/>
                <w:szCs w:val="24"/>
              </w:rPr>
              <w:fldChar w:fldCharType="end"/>
            </w:r>
          </w:hyperlink>
        </w:p>
        <w:p w14:paraId="6F65ACEE" w14:textId="42B5296A" w:rsidR="005E6F31" w:rsidRPr="00892E1E" w:rsidRDefault="005E6F31">
          <w:pPr>
            <w:pStyle w:val="TOC2"/>
            <w:rPr>
              <w:rFonts w:ascii="Times New Roman" w:hAnsi="Times New Roman"/>
              <w:kern w:val="2"/>
              <w:sz w:val="24"/>
              <w:szCs w:val="24"/>
              <w14:ligatures w14:val="standardContextual"/>
            </w:rPr>
          </w:pPr>
          <w:hyperlink w:anchor="_Toc241066041" w:history="1">
            <w:r w:rsidRPr="00892E1E">
              <w:rPr>
                <w:rStyle w:val="Hyperlink"/>
                <w:rFonts w:ascii="Times New Roman" w:hAnsi="Times New Roman"/>
                <w:sz w:val="24"/>
                <w:szCs w:val="24"/>
              </w:rPr>
              <w:t>AMC2 145.A.30(e)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25</w:t>
            </w:r>
            <w:r w:rsidRPr="00892E1E">
              <w:rPr>
                <w:rFonts w:ascii="Times New Roman" w:hAnsi="Times New Roman"/>
                <w:webHidden/>
                <w:sz w:val="24"/>
                <w:szCs w:val="24"/>
              </w:rPr>
              <w:fldChar w:fldCharType="end"/>
            </w:r>
          </w:hyperlink>
        </w:p>
        <w:p w14:paraId="2AA82265" w14:textId="712DCB65" w:rsidR="005E6F31" w:rsidRPr="00892E1E" w:rsidRDefault="005E6F31">
          <w:pPr>
            <w:pStyle w:val="TOC2"/>
            <w:rPr>
              <w:rFonts w:ascii="Times New Roman" w:hAnsi="Times New Roman"/>
              <w:kern w:val="2"/>
              <w:sz w:val="24"/>
              <w:szCs w:val="24"/>
              <w14:ligatures w14:val="standardContextual"/>
            </w:rPr>
          </w:pPr>
          <w:hyperlink w:anchor="_Toc241066042" w:history="1">
            <w:r w:rsidRPr="00892E1E">
              <w:rPr>
                <w:rStyle w:val="Hyperlink"/>
                <w:rFonts w:ascii="Times New Roman" w:hAnsi="Times New Roman"/>
                <w:sz w:val="24"/>
                <w:szCs w:val="24"/>
              </w:rPr>
              <w:t>AMC3 145.A.30(e)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25</w:t>
            </w:r>
            <w:r w:rsidRPr="00892E1E">
              <w:rPr>
                <w:rFonts w:ascii="Times New Roman" w:hAnsi="Times New Roman"/>
                <w:webHidden/>
                <w:sz w:val="24"/>
                <w:szCs w:val="24"/>
              </w:rPr>
              <w:fldChar w:fldCharType="end"/>
            </w:r>
          </w:hyperlink>
        </w:p>
        <w:p w14:paraId="0F3C40F4" w14:textId="40A8F290" w:rsidR="005E6F31" w:rsidRPr="00892E1E" w:rsidRDefault="005E6F31">
          <w:pPr>
            <w:pStyle w:val="TOC2"/>
            <w:rPr>
              <w:rFonts w:ascii="Times New Roman" w:hAnsi="Times New Roman"/>
              <w:kern w:val="2"/>
              <w:sz w:val="24"/>
              <w:szCs w:val="24"/>
              <w14:ligatures w14:val="standardContextual"/>
            </w:rPr>
          </w:pPr>
          <w:hyperlink w:anchor="_Toc241066043" w:history="1">
            <w:r w:rsidRPr="00892E1E">
              <w:rPr>
                <w:rStyle w:val="Hyperlink"/>
                <w:rFonts w:ascii="Times New Roman" w:hAnsi="Times New Roman"/>
                <w:sz w:val="24"/>
                <w:szCs w:val="24"/>
              </w:rPr>
              <w:t>AMC4 145.A.30(e)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26</w:t>
            </w:r>
            <w:r w:rsidRPr="00892E1E">
              <w:rPr>
                <w:rFonts w:ascii="Times New Roman" w:hAnsi="Times New Roman"/>
                <w:webHidden/>
                <w:sz w:val="24"/>
                <w:szCs w:val="24"/>
              </w:rPr>
              <w:fldChar w:fldCharType="end"/>
            </w:r>
          </w:hyperlink>
        </w:p>
        <w:p w14:paraId="15949654" w14:textId="1E24D9C4" w:rsidR="005E6F31" w:rsidRPr="00892E1E" w:rsidRDefault="005E6F31">
          <w:pPr>
            <w:pStyle w:val="TOC2"/>
            <w:rPr>
              <w:rFonts w:ascii="Times New Roman" w:hAnsi="Times New Roman"/>
              <w:kern w:val="2"/>
              <w:sz w:val="24"/>
              <w:szCs w:val="24"/>
              <w14:ligatures w14:val="standardContextual"/>
            </w:rPr>
          </w:pPr>
          <w:hyperlink w:anchor="_Toc241066044" w:history="1">
            <w:r w:rsidRPr="00892E1E">
              <w:rPr>
                <w:rStyle w:val="Hyperlink"/>
                <w:rFonts w:ascii="Times New Roman" w:hAnsi="Times New Roman"/>
                <w:sz w:val="24"/>
                <w:szCs w:val="24"/>
              </w:rPr>
              <w:t>AMC5 145.A.30(e)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27</w:t>
            </w:r>
            <w:r w:rsidRPr="00892E1E">
              <w:rPr>
                <w:rFonts w:ascii="Times New Roman" w:hAnsi="Times New Roman"/>
                <w:webHidden/>
                <w:sz w:val="24"/>
                <w:szCs w:val="24"/>
              </w:rPr>
              <w:fldChar w:fldCharType="end"/>
            </w:r>
          </w:hyperlink>
        </w:p>
        <w:p w14:paraId="0057C526" w14:textId="033276DB" w:rsidR="005E6F31" w:rsidRPr="00892E1E" w:rsidRDefault="005E6F31">
          <w:pPr>
            <w:pStyle w:val="TOC2"/>
            <w:rPr>
              <w:rFonts w:ascii="Times New Roman" w:hAnsi="Times New Roman"/>
              <w:kern w:val="2"/>
              <w:sz w:val="24"/>
              <w:szCs w:val="24"/>
              <w14:ligatures w14:val="standardContextual"/>
            </w:rPr>
          </w:pPr>
          <w:hyperlink w:anchor="_Toc241066045" w:history="1">
            <w:r w:rsidRPr="00892E1E">
              <w:rPr>
                <w:rStyle w:val="Hyperlink"/>
                <w:rFonts w:ascii="Times New Roman" w:hAnsi="Times New Roman"/>
                <w:sz w:val="24"/>
                <w:szCs w:val="24"/>
              </w:rPr>
              <w:t>GM1 145.A.30(e)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27</w:t>
            </w:r>
            <w:r w:rsidRPr="00892E1E">
              <w:rPr>
                <w:rFonts w:ascii="Times New Roman" w:hAnsi="Times New Roman"/>
                <w:webHidden/>
                <w:sz w:val="24"/>
                <w:szCs w:val="24"/>
              </w:rPr>
              <w:fldChar w:fldCharType="end"/>
            </w:r>
          </w:hyperlink>
        </w:p>
        <w:p w14:paraId="4232F1DC" w14:textId="07DBDB6D" w:rsidR="005E6F31" w:rsidRPr="00892E1E" w:rsidRDefault="005E6F31">
          <w:pPr>
            <w:pStyle w:val="TOC2"/>
            <w:rPr>
              <w:rFonts w:ascii="Times New Roman" w:hAnsi="Times New Roman"/>
              <w:kern w:val="2"/>
              <w:sz w:val="24"/>
              <w:szCs w:val="24"/>
              <w14:ligatures w14:val="standardContextual"/>
            </w:rPr>
          </w:pPr>
          <w:hyperlink w:anchor="_Toc241066046" w:history="1">
            <w:r w:rsidRPr="00892E1E">
              <w:rPr>
                <w:rStyle w:val="Hyperlink"/>
                <w:rFonts w:ascii="Times New Roman" w:hAnsi="Times New Roman"/>
                <w:sz w:val="24"/>
                <w:szCs w:val="24"/>
              </w:rPr>
              <w:t>GM2 145.A.30(e)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29</w:t>
            </w:r>
            <w:r w:rsidRPr="00892E1E">
              <w:rPr>
                <w:rFonts w:ascii="Times New Roman" w:hAnsi="Times New Roman"/>
                <w:webHidden/>
                <w:sz w:val="24"/>
                <w:szCs w:val="24"/>
              </w:rPr>
              <w:fldChar w:fldCharType="end"/>
            </w:r>
          </w:hyperlink>
        </w:p>
        <w:p w14:paraId="37756176" w14:textId="23CFF321" w:rsidR="005E6F31" w:rsidRPr="00892E1E" w:rsidRDefault="005E6F31">
          <w:pPr>
            <w:pStyle w:val="TOC2"/>
            <w:rPr>
              <w:rFonts w:ascii="Times New Roman" w:hAnsi="Times New Roman"/>
              <w:kern w:val="2"/>
              <w:sz w:val="24"/>
              <w:szCs w:val="24"/>
              <w14:ligatures w14:val="standardContextual"/>
            </w:rPr>
          </w:pPr>
          <w:hyperlink w:anchor="_Toc241066047" w:history="1">
            <w:r w:rsidRPr="00892E1E">
              <w:rPr>
                <w:rStyle w:val="Hyperlink"/>
                <w:rFonts w:ascii="Times New Roman" w:hAnsi="Times New Roman"/>
                <w:sz w:val="24"/>
                <w:szCs w:val="24"/>
              </w:rPr>
              <w:t>GM3 145.A.30(e)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32</w:t>
            </w:r>
            <w:r w:rsidRPr="00892E1E">
              <w:rPr>
                <w:rFonts w:ascii="Times New Roman" w:hAnsi="Times New Roman"/>
                <w:webHidden/>
                <w:sz w:val="24"/>
                <w:szCs w:val="24"/>
              </w:rPr>
              <w:fldChar w:fldCharType="end"/>
            </w:r>
          </w:hyperlink>
        </w:p>
        <w:p w14:paraId="2D28BA3E" w14:textId="04F0F205" w:rsidR="005E6F31" w:rsidRPr="00892E1E" w:rsidRDefault="005E6F31">
          <w:pPr>
            <w:pStyle w:val="TOC2"/>
            <w:rPr>
              <w:rFonts w:ascii="Times New Roman" w:hAnsi="Times New Roman"/>
              <w:kern w:val="2"/>
              <w:sz w:val="24"/>
              <w:szCs w:val="24"/>
              <w14:ligatures w14:val="standardContextual"/>
            </w:rPr>
          </w:pPr>
          <w:hyperlink w:anchor="_Toc241066048" w:history="1">
            <w:r w:rsidRPr="00892E1E">
              <w:rPr>
                <w:rStyle w:val="Hyperlink"/>
                <w:rFonts w:ascii="Times New Roman" w:hAnsi="Times New Roman"/>
                <w:sz w:val="24"/>
                <w:szCs w:val="24"/>
              </w:rPr>
              <w:t>GM4 145.A.30(e)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34</w:t>
            </w:r>
            <w:r w:rsidRPr="00892E1E">
              <w:rPr>
                <w:rFonts w:ascii="Times New Roman" w:hAnsi="Times New Roman"/>
                <w:webHidden/>
                <w:sz w:val="24"/>
                <w:szCs w:val="24"/>
              </w:rPr>
              <w:fldChar w:fldCharType="end"/>
            </w:r>
          </w:hyperlink>
        </w:p>
        <w:p w14:paraId="0E7DB637" w14:textId="42183E92" w:rsidR="005E6F31" w:rsidRPr="00892E1E" w:rsidRDefault="005E6F31">
          <w:pPr>
            <w:pStyle w:val="TOC2"/>
            <w:rPr>
              <w:rFonts w:ascii="Times New Roman" w:hAnsi="Times New Roman"/>
              <w:kern w:val="2"/>
              <w:sz w:val="24"/>
              <w:szCs w:val="24"/>
              <w14:ligatures w14:val="standardContextual"/>
            </w:rPr>
          </w:pPr>
          <w:hyperlink w:anchor="_Toc241066049" w:history="1">
            <w:r w:rsidRPr="00892E1E">
              <w:rPr>
                <w:rStyle w:val="Hyperlink"/>
                <w:rFonts w:ascii="Times New Roman" w:hAnsi="Times New Roman"/>
                <w:sz w:val="24"/>
                <w:szCs w:val="24"/>
              </w:rPr>
              <w:t>GM5 145.A.30(e)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_Toc241066049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34</w:t>
            </w:r>
            <w:r w:rsidRPr="00892E1E">
              <w:rPr>
                <w:rFonts w:ascii="Times New Roman" w:hAnsi="Times New Roman"/>
                <w:webHidden/>
                <w:sz w:val="24"/>
                <w:szCs w:val="24"/>
              </w:rPr>
              <w:fldChar w:fldCharType="end"/>
            </w:r>
          </w:hyperlink>
        </w:p>
        <w:p w14:paraId="07C41FB8" w14:textId="2AD50DCF" w:rsidR="005E6F31" w:rsidRPr="00892E1E" w:rsidRDefault="005E6F31">
          <w:pPr>
            <w:pStyle w:val="TOC2"/>
            <w:rPr>
              <w:rFonts w:ascii="Times New Roman" w:hAnsi="Times New Roman"/>
              <w:kern w:val="2"/>
              <w:sz w:val="24"/>
              <w:szCs w:val="24"/>
              <w14:ligatures w14:val="standardContextual"/>
            </w:rPr>
          </w:pPr>
          <w:hyperlink w:anchor="_Toc241066050" w:history="1">
            <w:r w:rsidRPr="00892E1E">
              <w:rPr>
                <w:rStyle w:val="Hyperlink"/>
                <w:rFonts w:ascii="Times New Roman" w:hAnsi="Times New Roman"/>
                <w:sz w:val="24"/>
                <w:szCs w:val="24"/>
              </w:rPr>
              <w:t>AMC 145.A.30(f)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34</w:t>
            </w:r>
            <w:r w:rsidRPr="00892E1E">
              <w:rPr>
                <w:rFonts w:ascii="Times New Roman" w:hAnsi="Times New Roman"/>
                <w:webHidden/>
                <w:sz w:val="24"/>
                <w:szCs w:val="24"/>
              </w:rPr>
              <w:fldChar w:fldCharType="end"/>
            </w:r>
          </w:hyperlink>
        </w:p>
        <w:p w14:paraId="0A01911E" w14:textId="19E7A11A" w:rsidR="005E6F31" w:rsidRPr="00892E1E" w:rsidRDefault="005E6F31">
          <w:pPr>
            <w:pStyle w:val="TOC2"/>
            <w:rPr>
              <w:rFonts w:ascii="Times New Roman" w:hAnsi="Times New Roman"/>
              <w:kern w:val="2"/>
              <w:sz w:val="24"/>
              <w:szCs w:val="24"/>
              <w14:ligatures w14:val="standardContextual"/>
            </w:rPr>
          </w:pPr>
          <w:hyperlink w:anchor="_Toc241066051" w:history="1">
            <w:r w:rsidRPr="00892E1E">
              <w:rPr>
                <w:rStyle w:val="Hyperlink"/>
                <w:rFonts w:ascii="Times New Roman" w:hAnsi="Times New Roman"/>
                <w:sz w:val="24"/>
                <w:szCs w:val="24"/>
              </w:rPr>
              <w:t>AMC 145.A.30(g)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35</w:t>
            </w:r>
            <w:r w:rsidRPr="00892E1E">
              <w:rPr>
                <w:rFonts w:ascii="Times New Roman" w:hAnsi="Times New Roman"/>
                <w:webHidden/>
                <w:sz w:val="24"/>
                <w:szCs w:val="24"/>
              </w:rPr>
              <w:fldChar w:fldCharType="end"/>
            </w:r>
          </w:hyperlink>
        </w:p>
        <w:p w14:paraId="7928D302" w14:textId="62D75E7C" w:rsidR="005E6F31" w:rsidRPr="00892E1E" w:rsidRDefault="005E6F31">
          <w:pPr>
            <w:pStyle w:val="TOC2"/>
            <w:rPr>
              <w:rFonts w:ascii="Times New Roman" w:hAnsi="Times New Roman"/>
              <w:kern w:val="2"/>
              <w:sz w:val="24"/>
              <w:szCs w:val="24"/>
              <w14:ligatures w14:val="standardContextual"/>
            </w:rPr>
          </w:pPr>
          <w:hyperlink w:anchor="_Toc241066052" w:history="1">
            <w:r w:rsidRPr="00892E1E">
              <w:rPr>
                <w:rStyle w:val="Hyperlink"/>
                <w:rFonts w:ascii="Times New Roman" w:hAnsi="Times New Roman"/>
                <w:sz w:val="24"/>
                <w:szCs w:val="24"/>
              </w:rPr>
              <w:t>AMC1 145.A.30(h)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37</w:t>
            </w:r>
            <w:r w:rsidRPr="00892E1E">
              <w:rPr>
                <w:rFonts w:ascii="Times New Roman" w:hAnsi="Times New Roman"/>
                <w:webHidden/>
                <w:sz w:val="24"/>
                <w:szCs w:val="24"/>
              </w:rPr>
              <w:fldChar w:fldCharType="end"/>
            </w:r>
          </w:hyperlink>
        </w:p>
        <w:p w14:paraId="2E33ECE3" w14:textId="606EF77A" w:rsidR="005E6F31" w:rsidRPr="00892E1E" w:rsidRDefault="005E6F31">
          <w:pPr>
            <w:pStyle w:val="TOC2"/>
            <w:rPr>
              <w:rFonts w:ascii="Times New Roman" w:hAnsi="Times New Roman"/>
              <w:kern w:val="2"/>
              <w:sz w:val="24"/>
              <w:szCs w:val="24"/>
              <w14:ligatures w14:val="standardContextual"/>
            </w:rPr>
          </w:pPr>
          <w:hyperlink w:anchor="_Toc241066053" w:history="1">
            <w:r w:rsidRPr="00892E1E">
              <w:rPr>
                <w:rStyle w:val="Hyperlink"/>
                <w:rFonts w:ascii="Times New Roman" w:hAnsi="Times New Roman"/>
                <w:sz w:val="24"/>
                <w:szCs w:val="24"/>
              </w:rPr>
              <w:t>AMC1 145.A.30(j)(4)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37</w:t>
            </w:r>
            <w:r w:rsidRPr="00892E1E">
              <w:rPr>
                <w:rFonts w:ascii="Times New Roman" w:hAnsi="Times New Roman"/>
                <w:webHidden/>
                <w:sz w:val="24"/>
                <w:szCs w:val="24"/>
              </w:rPr>
              <w:fldChar w:fldCharType="end"/>
            </w:r>
          </w:hyperlink>
        </w:p>
        <w:p w14:paraId="19138F5E" w14:textId="0214321F" w:rsidR="005E6F31" w:rsidRPr="00892E1E" w:rsidRDefault="005E6F31">
          <w:pPr>
            <w:pStyle w:val="TOC2"/>
            <w:rPr>
              <w:rFonts w:ascii="Times New Roman" w:hAnsi="Times New Roman"/>
              <w:kern w:val="2"/>
              <w:sz w:val="24"/>
              <w:szCs w:val="24"/>
              <w14:ligatures w14:val="standardContextual"/>
            </w:rPr>
          </w:pPr>
          <w:hyperlink w:anchor="_Toc241066054" w:history="1">
            <w:r w:rsidRPr="00892E1E">
              <w:rPr>
                <w:rStyle w:val="Hyperlink"/>
                <w:rFonts w:ascii="Times New Roman" w:hAnsi="Times New Roman"/>
                <w:sz w:val="24"/>
                <w:szCs w:val="24"/>
              </w:rPr>
              <w:t>AMC1 145.A.30(j)(5)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37</w:t>
            </w:r>
            <w:r w:rsidRPr="00892E1E">
              <w:rPr>
                <w:rFonts w:ascii="Times New Roman" w:hAnsi="Times New Roman"/>
                <w:webHidden/>
                <w:sz w:val="24"/>
                <w:szCs w:val="24"/>
              </w:rPr>
              <w:fldChar w:fldCharType="end"/>
            </w:r>
          </w:hyperlink>
        </w:p>
        <w:p w14:paraId="1E6FC6E4" w14:textId="5B3D2A7D" w:rsidR="005E6F31" w:rsidRPr="00892E1E" w:rsidRDefault="005E6F31">
          <w:pPr>
            <w:pStyle w:val="TOC2"/>
            <w:rPr>
              <w:rFonts w:ascii="Times New Roman" w:hAnsi="Times New Roman"/>
              <w:kern w:val="2"/>
              <w:sz w:val="24"/>
              <w:szCs w:val="24"/>
              <w14:ligatures w14:val="standardContextual"/>
            </w:rPr>
          </w:pPr>
          <w:hyperlink w:anchor="_Toc241066055" w:history="1">
            <w:r w:rsidRPr="00892E1E">
              <w:rPr>
                <w:rStyle w:val="Hyperlink"/>
                <w:rFonts w:ascii="Times New Roman" w:hAnsi="Times New Roman"/>
                <w:sz w:val="24"/>
                <w:szCs w:val="24"/>
              </w:rPr>
              <w:t>AMC 145.A.30(j)(5)(i)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38</w:t>
            </w:r>
            <w:r w:rsidRPr="00892E1E">
              <w:rPr>
                <w:rFonts w:ascii="Times New Roman" w:hAnsi="Times New Roman"/>
                <w:webHidden/>
                <w:sz w:val="24"/>
                <w:szCs w:val="24"/>
              </w:rPr>
              <w:fldChar w:fldCharType="end"/>
            </w:r>
          </w:hyperlink>
        </w:p>
        <w:p w14:paraId="412DE614" w14:textId="4AA67687" w:rsidR="005E6F31" w:rsidRPr="00892E1E" w:rsidRDefault="005E6F31">
          <w:pPr>
            <w:pStyle w:val="TOC2"/>
            <w:rPr>
              <w:rFonts w:ascii="Times New Roman" w:hAnsi="Times New Roman"/>
              <w:kern w:val="2"/>
              <w:sz w:val="24"/>
              <w:szCs w:val="24"/>
              <w14:ligatures w14:val="standardContextual"/>
            </w:rPr>
          </w:pPr>
          <w:hyperlink w:anchor="_Toc241066056" w:history="1">
            <w:r w:rsidRPr="00892E1E">
              <w:rPr>
                <w:rStyle w:val="Hyperlink"/>
                <w:rFonts w:ascii="Times New Roman" w:hAnsi="Times New Roman"/>
                <w:sz w:val="24"/>
                <w:szCs w:val="24"/>
              </w:rPr>
              <w:t>AMC1 145.A.30(j)(5)(ii) Personnel requirements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38</w:t>
            </w:r>
            <w:r w:rsidRPr="00892E1E">
              <w:rPr>
                <w:rFonts w:ascii="Times New Roman" w:hAnsi="Times New Roman"/>
                <w:webHidden/>
                <w:sz w:val="24"/>
                <w:szCs w:val="24"/>
              </w:rPr>
              <w:fldChar w:fldCharType="end"/>
            </w:r>
          </w:hyperlink>
        </w:p>
        <w:p w14:paraId="18E07186" w14:textId="6C9C6705" w:rsidR="005E6F31" w:rsidRPr="00892E1E" w:rsidRDefault="005E6F31">
          <w:pPr>
            <w:pStyle w:val="TOC2"/>
            <w:rPr>
              <w:rFonts w:ascii="Times New Roman" w:hAnsi="Times New Roman"/>
              <w:kern w:val="2"/>
              <w:sz w:val="24"/>
              <w:szCs w:val="24"/>
              <w14:ligatures w14:val="standardContextual"/>
            </w:rPr>
          </w:pPr>
          <w:hyperlink w:anchor="_Toc241066057" w:history="1">
            <w:r w:rsidRPr="00892E1E">
              <w:rPr>
                <w:rStyle w:val="Hyperlink"/>
                <w:rFonts w:ascii="Times New Roman" w:hAnsi="Times New Roman"/>
                <w:sz w:val="24"/>
                <w:szCs w:val="24"/>
              </w:rPr>
              <w:t>AMC 145.A.35(a) Certifying staff and support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38</w:t>
            </w:r>
            <w:r w:rsidRPr="00892E1E">
              <w:rPr>
                <w:rFonts w:ascii="Times New Roman" w:hAnsi="Times New Roman"/>
                <w:webHidden/>
                <w:sz w:val="24"/>
                <w:szCs w:val="24"/>
              </w:rPr>
              <w:fldChar w:fldCharType="end"/>
            </w:r>
          </w:hyperlink>
        </w:p>
        <w:p w14:paraId="756FD680" w14:textId="0E05D75D" w:rsidR="005E6F31" w:rsidRPr="00892E1E" w:rsidRDefault="005E6F31">
          <w:pPr>
            <w:pStyle w:val="TOC2"/>
            <w:rPr>
              <w:rFonts w:ascii="Times New Roman" w:hAnsi="Times New Roman"/>
              <w:kern w:val="2"/>
              <w:sz w:val="24"/>
              <w:szCs w:val="24"/>
              <w14:ligatures w14:val="standardContextual"/>
            </w:rPr>
          </w:pPr>
          <w:hyperlink w:anchor="_Toc241066058" w:history="1">
            <w:r w:rsidRPr="00892E1E">
              <w:rPr>
                <w:rStyle w:val="Hyperlink"/>
                <w:rFonts w:ascii="Times New Roman" w:hAnsi="Times New Roman"/>
                <w:sz w:val="24"/>
                <w:szCs w:val="24"/>
              </w:rPr>
              <w:t>AMC 145.A.35(b) Certifying staff and support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39</w:t>
            </w:r>
            <w:r w:rsidRPr="00892E1E">
              <w:rPr>
                <w:rFonts w:ascii="Times New Roman" w:hAnsi="Times New Roman"/>
                <w:webHidden/>
                <w:sz w:val="24"/>
                <w:szCs w:val="24"/>
              </w:rPr>
              <w:fldChar w:fldCharType="end"/>
            </w:r>
          </w:hyperlink>
        </w:p>
        <w:p w14:paraId="5E84EEE0" w14:textId="258E67C3" w:rsidR="005E6F31" w:rsidRPr="00892E1E" w:rsidRDefault="005E6F31">
          <w:pPr>
            <w:pStyle w:val="TOC2"/>
            <w:rPr>
              <w:rFonts w:ascii="Times New Roman" w:hAnsi="Times New Roman"/>
              <w:kern w:val="2"/>
              <w:sz w:val="24"/>
              <w:szCs w:val="24"/>
              <w14:ligatures w14:val="standardContextual"/>
            </w:rPr>
          </w:pPr>
          <w:hyperlink w:anchor="_Toc241066059" w:history="1">
            <w:r w:rsidRPr="00892E1E">
              <w:rPr>
                <w:rStyle w:val="Hyperlink"/>
                <w:rFonts w:ascii="Times New Roman" w:hAnsi="Times New Roman"/>
                <w:sz w:val="24"/>
                <w:szCs w:val="24"/>
              </w:rPr>
              <w:t>AMC 145.A.35(c) Certifying staff and support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_Toc241066059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39</w:t>
            </w:r>
            <w:r w:rsidRPr="00892E1E">
              <w:rPr>
                <w:rFonts w:ascii="Times New Roman" w:hAnsi="Times New Roman"/>
                <w:webHidden/>
                <w:sz w:val="24"/>
                <w:szCs w:val="24"/>
              </w:rPr>
              <w:fldChar w:fldCharType="end"/>
            </w:r>
          </w:hyperlink>
        </w:p>
        <w:p w14:paraId="2CCCE350" w14:textId="2B40E412" w:rsidR="005E6F31" w:rsidRPr="00892E1E" w:rsidRDefault="005E6F31">
          <w:pPr>
            <w:pStyle w:val="TOC2"/>
            <w:rPr>
              <w:rFonts w:ascii="Times New Roman" w:hAnsi="Times New Roman"/>
              <w:kern w:val="2"/>
              <w:sz w:val="24"/>
              <w:szCs w:val="24"/>
              <w14:ligatures w14:val="standardContextual"/>
            </w:rPr>
          </w:pPr>
          <w:hyperlink w:anchor="_Toc241066060" w:history="1">
            <w:r w:rsidRPr="00892E1E">
              <w:rPr>
                <w:rStyle w:val="Hyperlink"/>
                <w:rFonts w:ascii="Times New Roman" w:hAnsi="Times New Roman"/>
                <w:sz w:val="24"/>
                <w:szCs w:val="24"/>
              </w:rPr>
              <w:t>AMC1 145.A.35(d) Certifying staff and support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40</w:t>
            </w:r>
            <w:r w:rsidRPr="00892E1E">
              <w:rPr>
                <w:rFonts w:ascii="Times New Roman" w:hAnsi="Times New Roman"/>
                <w:webHidden/>
                <w:sz w:val="24"/>
                <w:szCs w:val="24"/>
              </w:rPr>
              <w:fldChar w:fldCharType="end"/>
            </w:r>
          </w:hyperlink>
        </w:p>
        <w:p w14:paraId="4B394908" w14:textId="38CD5B0A" w:rsidR="005E6F31" w:rsidRPr="00892E1E" w:rsidRDefault="005E6F31">
          <w:pPr>
            <w:pStyle w:val="TOC2"/>
            <w:rPr>
              <w:rFonts w:ascii="Times New Roman" w:hAnsi="Times New Roman"/>
              <w:kern w:val="2"/>
              <w:sz w:val="24"/>
              <w:szCs w:val="24"/>
              <w14:ligatures w14:val="standardContextual"/>
            </w:rPr>
          </w:pPr>
          <w:hyperlink w:anchor="_Toc241066061" w:history="1">
            <w:r w:rsidRPr="00892E1E">
              <w:rPr>
                <w:rStyle w:val="Hyperlink"/>
                <w:rFonts w:ascii="Times New Roman" w:hAnsi="Times New Roman"/>
                <w:sz w:val="24"/>
                <w:szCs w:val="24"/>
              </w:rPr>
              <w:t>AMC1 145.A.35(e) Certifying staff and support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41</w:t>
            </w:r>
            <w:r w:rsidRPr="00892E1E">
              <w:rPr>
                <w:rFonts w:ascii="Times New Roman" w:hAnsi="Times New Roman"/>
                <w:webHidden/>
                <w:sz w:val="24"/>
                <w:szCs w:val="24"/>
              </w:rPr>
              <w:fldChar w:fldCharType="end"/>
            </w:r>
          </w:hyperlink>
        </w:p>
        <w:p w14:paraId="6FB390FE" w14:textId="2B86752A" w:rsidR="005E6F31" w:rsidRPr="00892E1E" w:rsidRDefault="005E6F31">
          <w:pPr>
            <w:pStyle w:val="TOC2"/>
            <w:rPr>
              <w:rFonts w:ascii="Times New Roman" w:hAnsi="Times New Roman"/>
              <w:kern w:val="2"/>
              <w:sz w:val="24"/>
              <w:szCs w:val="24"/>
              <w14:ligatures w14:val="standardContextual"/>
            </w:rPr>
          </w:pPr>
          <w:hyperlink w:anchor="_Toc241066062" w:history="1">
            <w:r w:rsidRPr="00892E1E">
              <w:rPr>
                <w:rStyle w:val="Hyperlink"/>
                <w:rFonts w:ascii="Times New Roman" w:hAnsi="Times New Roman"/>
                <w:sz w:val="24"/>
                <w:szCs w:val="24"/>
              </w:rPr>
              <w:t>AMC1 145.A.35(f) Certifying staff and support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41</w:t>
            </w:r>
            <w:r w:rsidRPr="00892E1E">
              <w:rPr>
                <w:rFonts w:ascii="Times New Roman" w:hAnsi="Times New Roman"/>
                <w:webHidden/>
                <w:sz w:val="24"/>
                <w:szCs w:val="24"/>
              </w:rPr>
              <w:fldChar w:fldCharType="end"/>
            </w:r>
          </w:hyperlink>
        </w:p>
        <w:p w14:paraId="56CE5F5A" w14:textId="0242781B" w:rsidR="005E6F31" w:rsidRPr="00892E1E" w:rsidRDefault="005E6F31">
          <w:pPr>
            <w:pStyle w:val="TOC2"/>
            <w:rPr>
              <w:rFonts w:ascii="Times New Roman" w:hAnsi="Times New Roman"/>
              <w:kern w:val="2"/>
              <w:sz w:val="24"/>
              <w:szCs w:val="24"/>
              <w14:ligatures w14:val="standardContextual"/>
            </w:rPr>
          </w:pPr>
          <w:hyperlink w:anchor="_Toc241066063" w:history="1">
            <w:r w:rsidRPr="00892E1E">
              <w:rPr>
                <w:rStyle w:val="Hyperlink"/>
                <w:rFonts w:ascii="Times New Roman" w:hAnsi="Times New Roman"/>
                <w:sz w:val="24"/>
                <w:szCs w:val="24"/>
              </w:rPr>
              <w:t>AMC1 145.A.35(m) Certifying staff and support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41</w:t>
            </w:r>
            <w:r w:rsidRPr="00892E1E">
              <w:rPr>
                <w:rFonts w:ascii="Times New Roman" w:hAnsi="Times New Roman"/>
                <w:webHidden/>
                <w:sz w:val="24"/>
                <w:szCs w:val="24"/>
              </w:rPr>
              <w:fldChar w:fldCharType="end"/>
            </w:r>
          </w:hyperlink>
        </w:p>
        <w:p w14:paraId="462CDBEF" w14:textId="4D8E9A59" w:rsidR="005E6F31" w:rsidRPr="00892E1E" w:rsidRDefault="005E6F31">
          <w:pPr>
            <w:pStyle w:val="TOC2"/>
            <w:rPr>
              <w:rFonts w:ascii="Times New Roman" w:hAnsi="Times New Roman"/>
              <w:kern w:val="2"/>
              <w:sz w:val="24"/>
              <w:szCs w:val="24"/>
              <w14:ligatures w14:val="standardContextual"/>
            </w:rPr>
          </w:pPr>
          <w:hyperlink w:anchor="_Toc241066064" w:history="1">
            <w:r w:rsidRPr="00892E1E">
              <w:rPr>
                <w:rStyle w:val="Hyperlink"/>
                <w:rFonts w:ascii="Times New Roman" w:hAnsi="Times New Roman"/>
                <w:sz w:val="24"/>
                <w:szCs w:val="24"/>
              </w:rPr>
              <w:t>AMC1 145.A.35(n) Certifying staff and support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41</w:t>
            </w:r>
            <w:r w:rsidRPr="00892E1E">
              <w:rPr>
                <w:rFonts w:ascii="Times New Roman" w:hAnsi="Times New Roman"/>
                <w:webHidden/>
                <w:sz w:val="24"/>
                <w:szCs w:val="24"/>
              </w:rPr>
              <w:fldChar w:fldCharType="end"/>
            </w:r>
          </w:hyperlink>
        </w:p>
        <w:p w14:paraId="41FE2A4E" w14:textId="6AAA54C8" w:rsidR="005E6F31" w:rsidRPr="00892E1E" w:rsidRDefault="005E6F31">
          <w:pPr>
            <w:pStyle w:val="TOC2"/>
            <w:rPr>
              <w:rFonts w:ascii="Times New Roman" w:hAnsi="Times New Roman"/>
              <w:kern w:val="2"/>
              <w:sz w:val="24"/>
              <w:szCs w:val="24"/>
              <w14:ligatures w14:val="standardContextual"/>
            </w:rPr>
          </w:pPr>
          <w:hyperlink w:anchor="_Toc241066065" w:history="1">
            <w:r w:rsidRPr="00892E1E">
              <w:rPr>
                <w:rStyle w:val="Hyperlink"/>
                <w:rFonts w:ascii="Times New Roman" w:hAnsi="Times New Roman"/>
                <w:sz w:val="24"/>
                <w:szCs w:val="24"/>
              </w:rPr>
              <w:t>AMC1 145.A.37 Airworthiness review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42</w:t>
            </w:r>
            <w:r w:rsidRPr="00892E1E">
              <w:rPr>
                <w:rFonts w:ascii="Times New Roman" w:hAnsi="Times New Roman"/>
                <w:webHidden/>
                <w:sz w:val="24"/>
                <w:szCs w:val="24"/>
              </w:rPr>
              <w:fldChar w:fldCharType="end"/>
            </w:r>
          </w:hyperlink>
        </w:p>
        <w:p w14:paraId="4EA9BAF1" w14:textId="04432DA7" w:rsidR="005E6F31" w:rsidRPr="00892E1E" w:rsidRDefault="005E6F31">
          <w:pPr>
            <w:pStyle w:val="TOC2"/>
            <w:rPr>
              <w:rFonts w:ascii="Times New Roman" w:hAnsi="Times New Roman"/>
              <w:kern w:val="2"/>
              <w:sz w:val="24"/>
              <w:szCs w:val="24"/>
              <w14:ligatures w14:val="standardContextual"/>
            </w:rPr>
          </w:pPr>
          <w:hyperlink w:anchor="_Toc241066066" w:history="1">
            <w:r w:rsidRPr="00892E1E">
              <w:rPr>
                <w:rStyle w:val="Hyperlink"/>
                <w:rFonts w:ascii="Times New Roman" w:hAnsi="Times New Roman"/>
                <w:sz w:val="24"/>
                <w:szCs w:val="24"/>
              </w:rPr>
              <w:t>GM1 145.A.37(b) Airworthiness review staff</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42</w:t>
            </w:r>
            <w:r w:rsidRPr="00892E1E">
              <w:rPr>
                <w:rFonts w:ascii="Times New Roman" w:hAnsi="Times New Roman"/>
                <w:webHidden/>
                <w:sz w:val="24"/>
                <w:szCs w:val="24"/>
              </w:rPr>
              <w:fldChar w:fldCharType="end"/>
            </w:r>
          </w:hyperlink>
        </w:p>
        <w:p w14:paraId="607589C3" w14:textId="152C462F" w:rsidR="005E6F31" w:rsidRPr="00892E1E" w:rsidRDefault="005E6F31">
          <w:pPr>
            <w:pStyle w:val="TOC2"/>
            <w:rPr>
              <w:rFonts w:ascii="Times New Roman" w:hAnsi="Times New Roman"/>
              <w:kern w:val="2"/>
              <w:sz w:val="24"/>
              <w:szCs w:val="24"/>
              <w14:ligatures w14:val="standardContextual"/>
            </w:rPr>
          </w:pPr>
          <w:hyperlink w:anchor="_Toc241066067" w:history="1">
            <w:r w:rsidRPr="00892E1E">
              <w:rPr>
                <w:rStyle w:val="Hyperlink"/>
                <w:rFonts w:ascii="Times New Roman" w:hAnsi="Times New Roman"/>
                <w:sz w:val="24"/>
                <w:szCs w:val="24"/>
              </w:rPr>
              <w:t>AMC 145.A.40(a) Equipment and tools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42</w:t>
            </w:r>
            <w:r w:rsidRPr="00892E1E">
              <w:rPr>
                <w:rFonts w:ascii="Times New Roman" w:hAnsi="Times New Roman"/>
                <w:webHidden/>
                <w:sz w:val="24"/>
                <w:szCs w:val="24"/>
              </w:rPr>
              <w:fldChar w:fldCharType="end"/>
            </w:r>
          </w:hyperlink>
        </w:p>
        <w:p w14:paraId="1832F25B" w14:textId="6D038013" w:rsidR="005E6F31" w:rsidRPr="00892E1E" w:rsidRDefault="005E6F31">
          <w:pPr>
            <w:pStyle w:val="TOC2"/>
            <w:rPr>
              <w:rFonts w:ascii="Times New Roman" w:hAnsi="Times New Roman"/>
              <w:kern w:val="2"/>
              <w:sz w:val="24"/>
              <w:szCs w:val="24"/>
              <w14:ligatures w14:val="standardContextual"/>
            </w:rPr>
          </w:pPr>
          <w:hyperlink w:anchor="_Toc241066068" w:history="1">
            <w:r w:rsidRPr="00892E1E">
              <w:rPr>
                <w:rStyle w:val="Hyperlink"/>
                <w:rFonts w:ascii="Times New Roman" w:hAnsi="Times New Roman"/>
                <w:sz w:val="24"/>
                <w:szCs w:val="24"/>
              </w:rPr>
              <w:t>AMC 145.A.40(b) Equipment and tools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42</w:t>
            </w:r>
            <w:r w:rsidRPr="00892E1E">
              <w:rPr>
                <w:rFonts w:ascii="Times New Roman" w:hAnsi="Times New Roman"/>
                <w:webHidden/>
                <w:sz w:val="24"/>
                <w:szCs w:val="24"/>
              </w:rPr>
              <w:fldChar w:fldCharType="end"/>
            </w:r>
          </w:hyperlink>
        </w:p>
        <w:p w14:paraId="758851D7" w14:textId="77DDABD4" w:rsidR="005E6F31" w:rsidRPr="00892E1E" w:rsidRDefault="005E6F31">
          <w:pPr>
            <w:pStyle w:val="TOC2"/>
            <w:rPr>
              <w:rFonts w:ascii="Times New Roman" w:hAnsi="Times New Roman"/>
              <w:kern w:val="2"/>
              <w:sz w:val="24"/>
              <w:szCs w:val="24"/>
              <w14:ligatures w14:val="standardContextual"/>
            </w:rPr>
          </w:pPr>
          <w:hyperlink w:anchor="_Toc241066069" w:history="1">
            <w:r w:rsidRPr="00892E1E">
              <w:rPr>
                <w:rStyle w:val="Hyperlink"/>
                <w:rFonts w:ascii="Times New Roman" w:hAnsi="Times New Roman"/>
                <w:sz w:val="24"/>
                <w:szCs w:val="24"/>
              </w:rPr>
              <w:t>AMC1 145.A.42(a)(i)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_Toc241066069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43</w:t>
            </w:r>
            <w:r w:rsidRPr="00892E1E">
              <w:rPr>
                <w:rFonts w:ascii="Times New Roman" w:hAnsi="Times New Roman"/>
                <w:webHidden/>
                <w:sz w:val="24"/>
                <w:szCs w:val="24"/>
              </w:rPr>
              <w:fldChar w:fldCharType="end"/>
            </w:r>
          </w:hyperlink>
        </w:p>
        <w:p w14:paraId="09B89B92" w14:textId="767CC5B5" w:rsidR="005E6F31" w:rsidRPr="00892E1E" w:rsidRDefault="005E6F31">
          <w:pPr>
            <w:pStyle w:val="TOC2"/>
            <w:rPr>
              <w:rFonts w:ascii="Times New Roman" w:hAnsi="Times New Roman"/>
              <w:kern w:val="2"/>
              <w:sz w:val="24"/>
              <w:szCs w:val="24"/>
              <w14:ligatures w14:val="standardContextual"/>
            </w:rPr>
          </w:pPr>
          <w:hyperlink w:anchor="_Toc241066070" w:history="1">
            <w:r w:rsidRPr="00892E1E">
              <w:rPr>
                <w:rStyle w:val="Hyperlink"/>
                <w:rFonts w:ascii="Times New Roman" w:hAnsi="Times New Roman"/>
                <w:sz w:val="24"/>
                <w:szCs w:val="24"/>
              </w:rPr>
              <w:t>GM1 145.A.42(a)(i)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43</w:t>
            </w:r>
            <w:r w:rsidRPr="00892E1E">
              <w:rPr>
                <w:rFonts w:ascii="Times New Roman" w:hAnsi="Times New Roman"/>
                <w:webHidden/>
                <w:sz w:val="24"/>
                <w:szCs w:val="24"/>
              </w:rPr>
              <w:fldChar w:fldCharType="end"/>
            </w:r>
          </w:hyperlink>
        </w:p>
        <w:p w14:paraId="0A34EA43" w14:textId="0F1C8970" w:rsidR="005E6F31" w:rsidRPr="00892E1E" w:rsidRDefault="005E6F31">
          <w:pPr>
            <w:pStyle w:val="TOC2"/>
            <w:rPr>
              <w:rFonts w:ascii="Times New Roman" w:hAnsi="Times New Roman"/>
              <w:kern w:val="2"/>
              <w:sz w:val="24"/>
              <w:szCs w:val="24"/>
              <w14:ligatures w14:val="standardContextual"/>
            </w:rPr>
          </w:pPr>
          <w:hyperlink w:anchor="_Toc241066071" w:history="1">
            <w:r w:rsidRPr="00892E1E">
              <w:rPr>
                <w:rStyle w:val="Hyperlink"/>
                <w:rFonts w:ascii="Times New Roman" w:hAnsi="Times New Roman"/>
                <w:sz w:val="24"/>
                <w:szCs w:val="24"/>
              </w:rPr>
              <w:t>AMC1 145.A.42(a)(ii)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43</w:t>
            </w:r>
            <w:r w:rsidRPr="00892E1E">
              <w:rPr>
                <w:rFonts w:ascii="Times New Roman" w:hAnsi="Times New Roman"/>
                <w:webHidden/>
                <w:sz w:val="24"/>
                <w:szCs w:val="24"/>
              </w:rPr>
              <w:fldChar w:fldCharType="end"/>
            </w:r>
          </w:hyperlink>
        </w:p>
        <w:p w14:paraId="2B0BC4FD" w14:textId="7E02344B" w:rsidR="005E6F31" w:rsidRPr="00892E1E" w:rsidRDefault="005E6F31">
          <w:pPr>
            <w:pStyle w:val="TOC2"/>
            <w:rPr>
              <w:rFonts w:ascii="Times New Roman" w:hAnsi="Times New Roman"/>
              <w:kern w:val="2"/>
              <w:sz w:val="24"/>
              <w:szCs w:val="24"/>
              <w14:ligatures w14:val="standardContextual"/>
            </w:rPr>
          </w:pPr>
          <w:hyperlink w:anchor="_Toc241066072" w:history="1">
            <w:r w:rsidRPr="00892E1E">
              <w:rPr>
                <w:rStyle w:val="Hyperlink"/>
                <w:rFonts w:ascii="Times New Roman" w:hAnsi="Times New Roman"/>
                <w:sz w:val="24"/>
                <w:szCs w:val="24"/>
              </w:rPr>
              <w:t>AMC1 145.A.42(a)(iii)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44</w:t>
            </w:r>
            <w:r w:rsidRPr="00892E1E">
              <w:rPr>
                <w:rFonts w:ascii="Times New Roman" w:hAnsi="Times New Roman"/>
                <w:webHidden/>
                <w:sz w:val="24"/>
                <w:szCs w:val="24"/>
              </w:rPr>
              <w:fldChar w:fldCharType="end"/>
            </w:r>
          </w:hyperlink>
        </w:p>
        <w:p w14:paraId="7D90DDAC" w14:textId="66897C6C" w:rsidR="005E6F31" w:rsidRPr="00892E1E" w:rsidRDefault="005E6F31">
          <w:pPr>
            <w:pStyle w:val="TOC2"/>
            <w:rPr>
              <w:rFonts w:ascii="Times New Roman" w:hAnsi="Times New Roman"/>
              <w:kern w:val="2"/>
              <w:sz w:val="24"/>
              <w:szCs w:val="24"/>
              <w14:ligatures w14:val="standardContextual"/>
            </w:rPr>
          </w:pPr>
          <w:hyperlink w:anchor="_Toc241066073" w:history="1">
            <w:r w:rsidRPr="00892E1E">
              <w:rPr>
                <w:rStyle w:val="Hyperlink"/>
                <w:rFonts w:ascii="Times New Roman" w:hAnsi="Times New Roman"/>
                <w:sz w:val="24"/>
                <w:szCs w:val="24"/>
              </w:rPr>
              <w:t>AMC1 145.A.42(a)(iv)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44</w:t>
            </w:r>
            <w:r w:rsidRPr="00892E1E">
              <w:rPr>
                <w:rFonts w:ascii="Times New Roman" w:hAnsi="Times New Roman"/>
                <w:webHidden/>
                <w:sz w:val="24"/>
                <w:szCs w:val="24"/>
              </w:rPr>
              <w:fldChar w:fldCharType="end"/>
            </w:r>
          </w:hyperlink>
        </w:p>
        <w:p w14:paraId="3994FF6E" w14:textId="4FBA2EA9" w:rsidR="005E6F31" w:rsidRPr="00892E1E" w:rsidRDefault="005E6F31">
          <w:pPr>
            <w:pStyle w:val="TOC2"/>
            <w:rPr>
              <w:rFonts w:ascii="Times New Roman" w:hAnsi="Times New Roman"/>
              <w:kern w:val="2"/>
              <w:sz w:val="24"/>
              <w:szCs w:val="24"/>
              <w14:ligatures w14:val="standardContextual"/>
            </w:rPr>
          </w:pPr>
          <w:hyperlink w:anchor="_Toc241066074" w:history="1">
            <w:r w:rsidRPr="00892E1E">
              <w:rPr>
                <w:rStyle w:val="Hyperlink"/>
                <w:rFonts w:ascii="Times New Roman" w:hAnsi="Times New Roman"/>
                <w:sz w:val="24"/>
                <w:szCs w:val="24"/>
              </w:rPr>
              <w:t>AMC2 145.A.42(a)(iv)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45</w:t>
            </w:r>
            <w:r w:rsidRPr="00892E1E">
              <w:rPr>
                <w:rFonts w:ascii="Times New Roman" w:hAnsi="Times New Roman"/>
                <w:webHidden/>
                <w:sz w:val="24"/>
                <w:szCs w:val="24"/>
              </w:rPr>
              <w:fldChar w:fldCharType="end"/>
            </w:r>
          </w:hyperlink>
        </w:p>
        <w:p w14:paraId="2417E0D3" w14:textId="04080C7A" w:rsidR="005E6F31" w:rsidRPr="00892E1E" w:rsidRDefault="005E6F31">
          <w:pPr>
            <w:pStyle w:val="TOC2"/>
            <w:rPr>
              <w:rFonts w:ascii="Times New Roman" w:hAnsi="Times New Roman"/>
              <w:kern w:val="2"/>
              <w:sz w:val="24"/>
              <w:szCs w:val="24"/>
              <w14:ligatures w14:val="standardContextual"/>
            </w:rPr>
          </w:pPr>
          <w:hyperlink w:anchor="_Toc241066075" w:history="1">
            <w:r w:rsidRPr="00892E1E">
              <w:rPr>
                <w:rStyle w:val="Hyperlink"/>
                <w:rFonts w:ascii="Times New Roman" w:hAnsi="Times New Roman"/>
                <w:sz w:val="24"/>
                <w:szCs w:val="24"/>
              </w:rPr>
              <w:t>AMC1 145.A.42(a)(v)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45</w:t>
            </w:r>
            <w:r w:rsidRPr="00892E1E">
              <w:rPr>
                <w:rFonts w:ascii="Times New Roman" w:hAnsi="Times New Roman"/>
                <w:webHidden/>
                <w:sz w:val="24"/>
                <w:szCs w:val="24"/>
              </w:rPr>
              <w:fldChar w:fldCharType="end"/>
            </w:r>
          </w:hyperlink>
        </w:p>
        <w:p w14:paraId="4318CB87" w14:textId="20238488" w:rsidR="005E6F31" w:rsidRPr="00892E1E" w:rsidRDefault="005E6F31">
          <w:pPr>
            <w:pStyle w:val="TOC2"/>
            <w:rPr>
              <w:rFonts w:ascii="Times New Roman" w:hAnsi="Times New Roman"/>
              <w:kern w:val="2"/>
              <w:sz w:val="24"/>
              <w:szCs w:val="24"/>
              <w14:ligatures w14:val="standardContextual"/>
            </w:rPr>
          </w:pPr>
          <w:hyperlink w:anchor="_Toc241066076" w:history="1">
            <w:r w:rsidRPr="00892E1E">
              <w:rPr>
                <w:rStyle w:val="Hyperlink"/>
                <w:rFonts w:ascii="Times New Roman" w:hAnsi="Times New Roman"/>
                <w:sz w:val="24"/>
                <w:szCs w:val="24"/>
              </w:rPr>
              <w:t>GM1 145.A.42(b)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46</w:t>
            </w:r>
            <w:r w:rsidRPr="00892E1E">
              <w:rPr>
                <w:rFonts w:ascii="Times New Roman" w:hAnsi="Times New Roman"/>
                <w:webHidden/>
                <w:sz w:val="24"/>
                <w:szCs w:val="24"/>
              </w:rPr>
              <w:fldChar w:fldCharType="end"/>
            </w:r>
          </w:hyperlink>
        </w:p>
        <w:p w14:paraId="2944E1D2" w14:textId="508CEBBF" w:rsidR="005E6F31" w:rsidRPr="00892E1E" w:rsidRDefault="005E6F31">
          <w:pPr>
            <w:pStyle w:val="TOC2"/>
            <w:rPr>
              <w:rFonts w:ascii="Times New Roman" w:hAnsi="Times New Roman"/>
              <w:kern w:val="2"/>
              <w:sz w:val="24"/>
              <w:szCs w:val="24"/>
              <w14:ligatures w14:val="standardContextual"/>
            </w:rPr>
          </w:pPr>
          <w:hyperlink w:anchor="_Toc241066077" w:history="1">
            <w:r w:rsidRPr="00892E1E">
              <w:rPr>
                <w:rStyle w:val="Hyperlink"/>
                <w:rFonts w:ascii="Times New Roman" w:hAnsi="Times New Roman"/>
                <w:sz w:val="24"/>
                <w:szCs w:val="24"/>
              </w:rPr>
              <w:t>AMC1 145.A.42(b)(i)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46</w:t>
            </w:r>
            <w:r w:rsidRPr="00892E1E">
              <w:rPr>
                <w:rFonts w:ascii="Times New Roman" w:hAnsi="Times New Roman"/>
                <w:webHidden/>
                <w:sz w:val="24"/>
                <w:szCs w:val="24"/>
              </w:rPr>
              <w:fldChar w:fldCharType="end"/>
            </w:r>
          </w:hyperlink>
        </w:p>
        <w:p w14:paraId="5297FEB8" w14:textId="3E3D1ADF" w:rsidR="005E6F31" w:rsidRPr="00892E1E" w:rsidRDefault="005E6F31">
          <w:pPr>
            <w:pStyle w:val="TOC2"/>
            <w:rPr>
              <w:rFonts w:ascii="Times New Roman" w:hAnsi="Times New Roman"/>
              <w:kern w:val="2"/>
              <w:sz w:val="24"/>
              <w:szCs w:val="24"/>
              <w14:ligatures w14:val="standardContextual"/>
            </w:rPr>
          </w:pPr>
          <w:hyperlink w:anchor="_Toc241066078" w:history="1">
            <w:r w:rsidRPr="00892E1E">
              <w:rPr>
                <w:rStyle w:val="Hyperlink"/>
                <w:rFonts w:ascii="Times New Roman" w:hAnsi="Times New Roman"/>
                <w:sz w:val="24"/>
                <w:szCs w:val="24"/>
              </w:rPr>
              <w:t>GM1 145.A.42(b)(i)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46</w:t>
            </w:r>
            <w:r w:rsidRPr="00892E1E">
              <w:rPr>
                <w:rFonts w:ascii="Times New Roman" w:hAnsi="Times New Roman"/>
                <w:webHidden/>
                <w:sz w:val="24"/>
                <w:szCs w:val="24"/>
              </w:rPr>
              <w:fldChar w:fldCharType="end"/>
            </w:r>
          </w:hyperlink>
        </w:p>
        <w:p w14:paraId="2C13B2FC" w14:textId="39CC7488" w:rsidR="005E6F31" w:rsidRPr="00892E1E" w:rsidRDefault="005E6F31">
          <w:pPr>
            <w:pStyle w:val="TOC2"/>
            <w:rPr>
              <w:rFonts w:ascii="Times New Roman" w:hAnsi="Times New Roman"/>
              <w:kern w:val="2"/>
              <w:sz w:val="24"/>
              <w:szCs w:val="24"/>
              <w14:ligatures w14:val="standardContextual"/>
            </w:rPr>
          </w:pPr>
          <w:hyperlink w:anchor="_Toc241066079" w:history="1">
            <w:r w:rsidRPr="00892E1E">
              <w:rPr>
                <w:rStyle w:val="Hyperlink"/>
                <w:rFonts w:ascii="Times New Roman" w:hAnsi="Times New Roman"/>
                <w:sz w:val="24"/>
                <w:szCs w:val="24"/>
              </w:rPr>
              <w:t>GM2 145.A.42(b)(i)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_Toc241066079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47</w:t>
            </w:r>
            <w:r w:rsidRPr="00892E1E">
              <w:rPr>
                <w:rFonts w:ascii="Times New Roman" w:hAnsi="Times New Roman"/>
                <w:webHidden/>
                <w:sz w:val="24"/>
                <w:szCs w:val="24"/>
              </w:rPr>
              <w:fldChar w:fldCharType="end"/>
            </w:r>
          </w:hyperlink>
        </w:p>
        <w:p w14:paraId="0AC634BB" w14:textId="428077CB" w:rsidR="005E6F31" w:rsidRPr="00892E1E" w:rsidRDefault="005E6F31">
          <w:pPr>
            <w:pStyle w:val="TOC2"/>
            <w:rPr>
              <w:rFonts w:ascii="Times New Roman" w:hAnsi="Times New Roman"/>
              <w:kern w:val="2"/>
              <w:sz w:val="24"/>
              <w:szCs w:val="24"/>
              <w14:ligatures w14:val="standardContextual"/>
            </w:rPr>
          </w:pPr>
          <w:hyperlink w:anchor="_Toc241066080" w:history="1">
            <w:r w:rsidRPr="00892E1E">
              <w:rPr>
                <w:rStyle w:val="Hyperlink"/>
                <w:rFonts w:ascii="Times New Roman" w:hAnsi="Times New Roman"/>
                <w:sz w:val="24"/>
                <w:szCs w:val="24"/>
              </w:rPr>
              <w:t>GM3 145.A.42(b)(i)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47</w:t>
            </w:r>
            <w:r w:rsidRPr="00892E1E">
              <w:rPr>
                <w:rFonts w:ascii="Times New Roman" w:hAnsi="Times New Roman"/>
                <w:webHidden/>
                <w:sz w:val="24"/>
                <w:szCs w:val="24"/>
              </w:rPr>
              <w:fldChar w:fldCharType="end"/>
            </w:r>
          </w:hyperlink>
        </w:p>
        <w:p w14:paraId="70E1B2D6" w14:textId="3E9B031D" w:rsidR="005E6F31" w:rsidRPr="00892E1E" w:rsidRDefault="005E6F31">
          <w:pPr>
            <w:pStyle w:val="TOC2"/>
            <w:rPr>
              <w:rFonts w:ascii="Times New Roman" w:hAnsi="Times New Roman"/>
              <w:kern w:val="2"/>
              <w:sz w:val="24"/>
              <w:szCs w:val="24"/>
              <w14:ligatures w14:val="standardContextual"/>
            </w:rPr>
          </w:pPr>
          <w:hyperlink w:anchor="_Toc241066081" w:history="1">
            <w:r w:rsidRPr="00892E1E">
              <w:rPr>
                <w:rStyle w:val="Hyperlink"/>
                <w:rFonts w:ascii="Times New Roman" w:hAnsi="Times New Roman"/>
                <w:sz w:val="24"/>
                <w:szCs w:val="24"/>
              </w:rPr>
              <w:t>GM1 145.A.42(b)(ii)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48</w:t>
            </w:r>
            <w:r w:rsidRPr="00892E1E">
              <w:rPr>
                <w:rFonts w:ascii="Times New Roman" w:hAnsi="Times New Roman"/>
                <w:webHidden/>
                <w:sz w:val="24"/>
                <w:szCs w:val="24"/>
              </w:rPr>
              <w:fldChar w:fldCharType="end"/>
            </w:r>
          </w:hyperlink>
        </w:p>
        <w:p w14:paraId="1D96B1D5" w14:textId="50A4DCB9" w:rsidR="005E6F31" w:rsidRPr="00892E1E" w:rsidRDefault="005E6F31">
          <w:pPr>
            <w:pStyle w:val="TOC2"/>
            <w:rPr>
              <w:rFonts w:ascii="Times New Roman" w:hAnsi="Times New Roman"/>
              <w:kern w:val="2"/>
              <w:sz w:val="24"/>
              <w:szCs w:val="24"/>
              <w14:ligatures w14:val="standardContextual"/>
            </w:rPr>
          </w:pPr>
          <w:hyperlink w:anchor="_Toc241066082" w:history="1">
            <w:r w:rsidRPr="00892E1E">
              <w:rPr>
                <w:rStyle w:val="Hyperlink"/>
                <w:rFonts w:ascii="Times New Roman" w:hAnsi="Times New Roman"/>
                <w:sz w:val="24"/>
                <w:szCs w:val="24"/>
              </w:rPr>
              <w:t>AMC1 145.A.42(b)(iii) Compo</w:t>
            </w:r>
            <w:r w:rsidRPr="00892E1E">
              <w:rPr>
                <w:rStyle w:val="Hyperlink"/>
                <w:rFonts w:ascii="Times New Roman" w:hAnsi="Times New Roman"/>
                <w:sz w:val="24"/>
                <w:szCs w:val="24"/>
              </w:rPr>
              <w:t>n</w:t>
            </w:r>
            <w:r w:rsidRPr="00892E1E">
              <w:rPr>
                <w:rStyle w:val="Hyperlink"/>
                <w:rFonts w:ascii="Times New Roman" w:hAnsi="Times New Roman"/>
                <w:sz w:val="24"/>
                <w:szCs w:val="24"/>
              </w:rPr>
              <w:t>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48</w:t>
            </w:r>
            <w:r w:rsidRPr="00892E1E">
              <w:rPr>
                <w:rFonts w:ascii="Times New Roman" w:hAnsi="Times New Roman"/>
                <w:webHidden/>
                <w:sz w:val="24"/>
                <w:szCs w:val="24"/>
              </w:rPr>
              <w:fldChar w:fldCharType="end"/>
            </w:r>
          </w:hyperlink>
        </w:p>
        <w:p w14:paraId="3930F60C" w14:textId="2BAB7353" w:rsidR="005E6F31" w:rsidRPr="00892E1E" w:rsidRDefault="005E6F31">
          <w:pPr>
            <w:pStyle w:val="TOC2"/>
            <w:rPr>
              <w:rFonts w:ascii="Times New Roman" w:hAnsi="Times New Roman"/>
              <w:kern w:val="2"/>
              <w:sz w:val="24"/>
              <w:szCs w:val="24"/>
              <w14:ligatures w14:val="standardContextual"/>
            </w:rPr>
          </w:pPr>
          <w:hyperlink w:anchor="_Toc241066083" w:history="1">
            <w:r w:rsidRPr="00892E1E">
              <w:rPr>
                <w:rStyle w:val="Hyperlink"/>
                <w:rFonts w:ascii="Times New Roman" w:hAnsi="Times New Roman"/>
                <w:sz w:val="24"/>
                <w:szCs w:val="24"/>
              </w:rPr>
              <w:t>AMC1 145.A.42(c)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50</w:t>
            </w:r>
            <w:r w:rsidRPr="00892E1E">
              <w:rPr>
                <w:rFonts w:ascii="Times New Roman" w:hAnsi="Times New Roman"/>
                <w:webHidden/>
                <w:sz w:val="24"/>
                <w:szCs w:val="24"/>
              </w:rPr>
              <w:fldChar w:fldCharType="end"/>
            </w:r>
          </w:hyperlink>
        </w:p>
        <w:p w14:paraId="265BF0A5" w14:textId="5C724C54" w:rsidR="005E6F31" w:rsidRPr="00892E1E" w:rsidRDefault="005E6F31">
          <w:pPr>
            <w:pStyle w:val="TOC2"/>
            <w:rPr>
              <w:rFonts w:ascii="Times New Roman" w:hAnsi="Times New Roman"/>
              <w:kern w:val="2"/>
              <w:sz w:val="24"/>
              <w:szCs w:val="24"/>
              <w14:ligatures w14:val="standardContextual"/>
            </w:rPr>
          </w:pPr>
          <w:hyperlink w:anchor="_Toc241066084" w:history="1">
            <w:r w:rsidRPr="00892E1E">
              <w:rPr>
                <w:rStyle w:val="Hyperlink"/>
                <w:rFonts w:ascii="Times New Roman" w:hAnsi="Times New Roman"/>
                <w:sz w:val="24"/>
                <w:szCs w:val="24"/>
              </w:rPr>
              <w:t>GM1 145.A.42(c)(i) Components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50</w:t>
            </w:r>
            <w:r w:rsidRPr="00892E1E">
              <w:rPr>
                <w:rFonts w:ascii="Times New Roman" w:hAnsi="Times New Roman"/>
                <w:webHidden/>
                <w:sz w:val="24"/>
                <w:szCs w:val="24"/>
              </w:rPr>
              <w:fldChar w:fldCharType="end"/>
            </w:r>
          </w:hyperlink>
        </w:p>
        <w:p w14:paraId="302BABF4" w14:textId="6547D6F0" w:rsidR="005E6F31" w:rsidRPr="00892E1E" w:rsidRDefault="005E6F31">
          <w:pPr>
            <w:pStyle w:val="TOC2"/>
            <w:rPr>
              <w:rFonts w:ascii="Times New Roman" w:hAnsi="Times New Roman"/>
              <w:kern w:val="2"/>
              <w:sz w:val="24"/>
              <w:szCs w:val="24"/>
              <w14:ligatures w14:val="standardContextual"/>
            </w:rPr>
          </w:pPr>
          <w:hyperlink w:anchor="_Toc241066085" w:history="1">
            <w:r w:rsidRPr="00892E1E">
              <w:rPr>
                <w:rStyle w:val="Hyperlink"/>
                <w:rFonts w:ascii="Times New Roman" w:hAnsi="Times New Roman"/>
                <w:sz w:val="24"/>
                <w:szCs w:val="24"/>
              </w:rPr>
              <w:t>GM1 145.A.45(b) Maintenance data</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51</w:t>
            </w:r>
            <w:r w:rsidRPr="00892E1E">
              <w:rPr>
                <w:rFonts w:ascii="Times New Roman" w:hAnsi="Times New Roman"/>
                <w:webHidden/>
                <w:sz w:val="24"/>
                <w:szCs w:val="24"/>
              </w:rPr>
              <w:fldChar w:fldCharType="end"/>
            </w:r>
          </w:hyperlink>
        </w:p>
        <w:p w14:paraId="16708A75" w14:textId="740987A4" w:rsidR="005E6F31" w:rsidRPr="00892E1E" w:rsidRDefault="005E6F31">
          <w:pPr>
            <w:pStyle w:val="TOC2"/>
            <w:rPr>
              <w:rFonts w:ascii="Times New Roman" w:hAnsi="Times New Roman"/>
              <w:kern w:val="2"/>
              <w:sz w:val="24"/>
              <w:szCs w:val="24"/>
              <w14:ligatures w14:val="standardContextual"/>
            </w:rPr>
          </w:pPr>
          <w:hyperlink w:anchor="_Toc241066086" w:history="1">
            <w:r w:rsidRPr="00892E1E">
              <w:rPr>
                <w:rStyle w:val="Hyperlink"/>
                <w:rFonts w:ascii="Times New Roman" w:hAnsi="Times New Roman"/>
                <w:sz w:val="24"/>
                <w:szCs w:val="24"/>
              </w:rPr>
              <w:t>AMC1 145.A.45(c) Maintenance data</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51</w:t>
            </w:r>
            <w:r w:rsidRPr="00892E1E">
              <w:rPr>
                <w:rFonts w:ascii="Times New Roman" w:hAnsi="Times New Roman"/>
                <w:webHidden/>
                <w:sz w:val="24"/>
                <w:szCs w:val="24"/>
              </w:rPr>
              <w:fldChar w:fldCharType="end"/>
            </w:r>
          </w:hyperlink>
        </w:p>
        <w:p w14:paraId="767C63AC" w14:textId="6902ADD0" w:rsidR="005E6F31" w:rsidRPr="00892E1E" w:rsidRDefault="005E6F31">
          <w:pPr>
            <w:pStyle w:val="TOC2"/>
            <w:rPr>
              <w:rFonts w:ascii="Times New Roman" w:hAnsi="Times New Roman"/>
              <w:kern w:val="2"/>
              <w:sz w:val="24"/>
              <w:szCs w:val="24"/>
              <w14:ligatures w14:val="standardContextual"/>
            </w:rPr>
          </w:pPr>
          <w:hyperlink w:anchor="_Toc241066087" w:history="1">
            <w:r w:rsidRPr="00892E1E">
              <w:rPr>
                <w:rStyle w:val="Hyperlink"/>
                <w:rFonts w:ascii="Times New Roman" w:hAnsi="Times New Roman"/>
                <w:sz w:val="24"/>
                <w:szCs w:val="24"/>
              </w:rPr>
              <w:t>AMC1 145.A.45(d) Maintenance data</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51</w:t>
            </w:r>
            <w:r w:rsidRPr="00892E1E">
              <w:rPr>
                <w:rFonts w:ascii="Times New Roman" w:hAnsi="Times New Roman"/>
                <w:webHidden/>
                <w:sz w:val="24"/>
                <w:szCs w:val="24"/>
              </w:rPr>
              <w:fldChar w:fldCharType="end"/>
            </w:r>
          </w:hyperlink>
        </w:p>
        <w:p w14:paraId="1D08AE07" w14:textId="088A4375" w:rsidR="005E6F31" w:rsidRPr="00892E1E" w:rsidRDefault="005E6F31">
          <w:pPr>
            <w:pStyle w:val="TOC2"/>
            <w:rPr>
              <w:rFonts w:ascii="Times New Roman" w:hAnsi="Times New Roman"/>
              <w:kern w:val="2"/>
              <w:sz w:val="24"/>
              <w:szCs w:val="24"/>
              <w14:ligatures w14:val="standardContextual"/>
            </w:rPr>
          </w:pPr>
          <w:hyperlink w:anchor="_Toc241066088" w:history="1">
            <w:r w:rsidRPr="00892E1E">
              <w:rPr>
                <w:rStyle w:val="Hyperlink"/>
                <w:rFonts w:ascii="Times New Roman" w:hAnsi="Times New Roman"/>
                <w:sz w:val="24"/>
                <w:szCs w:val="24"/>
              </w:rPr>
              <w:t>AMC1 145.A.45(e) Maintenance data</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51</w:t>
            </w:r>
            <w:r w:rsidRPr="00892E1E">
              <w:rPr>
                <w:rFonts w:ascii="Times New Roman" w:hAnsi="Times New Roman"/>
                <w:webHidden/>
                <w:sz w:val="24"/>
                <w:szCs w:val="24"/>
              </w:rPr>
              <w:fldChar w:fldCharType="end"/>
            </w:r>
          </w:hyperlink>
        </w:p>
        <w:p w14:paraId="710915C9" w14:textId="35D8E5A9" w:rsidR="005E6F31" w:rsidRPr="00892E1E" w:rsidRDefault="005E6F31">
          <w:pPr>
            <w:pStyle w:val="TOC2"/>
            <w:rPr>
              <w:rFonts w:ascii="Times New Roman" w:hAnsi="Times New Roman"/>
              <w:kern w:val="2"/>
              <w:sz w:val="24"/>
              <w:szCs w:val="24"/>
              <w14:ligatures w14:val="standardContextual"/>
            </w:rPr>
          </w:pPr>
          <w:hyperlink w:anchor="_Toc241066089" w:history="1">
            <w:r w:rsidRPr="00892E1E">
              <w:rPr>
                <w:rStyle w:val="Hyperlink"/>
                <w:rFonts w:ascii="Times New Roman" w:hAnsi="Times New Roman"/>
                <w:sz w:val="24"/>
                <w:szCs w:val="24"/>
              </w:rPr>
              <w:t>AMC 145.A.45(f) Maintenance data</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_Toc241066089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52</w:t>
            </w:r>
            <w:r w:rsidRPr="00892E1E">
              <w:rPr>
                <w:rFonts w:ascii="Times New Roman" w:hAnsi="Times New Roman"/>
                <w:webHidden/>
                <w:sz w:val="24"/>
                <w:szCs w:val="24"/>
              </w:rPr>
              <w:fldChar w:fldCharType="end"/>
            </w:r>
          </w:hyperlink>
        </w:p>
        <w:p w14:paraId="0495B8A8" w14:textId="63D42E6D" w:rsidR="005E6F31" w:rsidRPr="00892E1E" w:rsidRDefault="005E6F31">
          <w:pPr>
            <w:pStyle w:val="TOC2"/>
            <w:rPr>
              <w:rFonts w:ascii="Times New Roman" w:hAnsi="Times New Roman"/>
              <w:kern w:val="2"/>
              <w:sz w:val="24"/>
              <w:szCs w:val="24"/>
              <w14:ligatures w14:val="standardContextual"/>
            </w:rPr>
          </w:pPr>
          <w:hyperlink w:anchor="_Toc241066090" w:history="1">
            <w:r w:rsidRPr="00892E1E">
              <w:rPr>
                <w:rStyle w:val="Hyperlink"/>
                <w:rFonts w:ascii="Times New Roman" w:hAnsi="Times New Roman"/>
                <w:sz w:val="24"/>
                <w:szCs w:val="24"/>
              </w:rPr>
              <w:t>AMC1 145.A.45(g) Maintenance data</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52</w:t>
            </w:r>
            <w:r w:rsidRPr="00892E1E">
              <w:rPr>
                <w:rFonts w:ascii="Times New Roman" w:hAnsi="Times New Roman"/>
                <w:webHidden/>
                <w:sz w:val="24"/>
                <w:szCs w:val="24"/>
              </w:rPr>
              <w:fldChar w:fldCharType="end"/>
            </w:r>
          </w:hyperlink>
        </w:p>
        <w:p w14:paraId="7ED9C996" w14:textId="27647BA4" w:rsidR="005E6F31" w:rsidRPr="00892E1E" w:rsidRDefault="005E6F31">
          <w:pPr>
            <w:pStyle w:val="TOC2"/>
            <w:rPr>
              <w:rFonts w:ascii="Times New Roman" w:hAnsi="Times New Roman"/>
              <w:kern w:val="2"/>
              <w:sz w:val="24"/>
              <w:szCs w:val="24"/>
              <w14:ligatures w14:val="standardContextual"/>
            </w:rPr>
          </w:pPr>
          <w:hyperlink w:anchor="_Toc241066091" w:history="1">
            <w:r w:rsidRPr="00892E1E">
              <w:rPr>
                <w:rStyle w:val="Hyperlink"/>
                <w:rFonts w:ascii="Times New Roman" w:hAnsi="Times New Roman"/>
                <w:sz w:val="24"/>
                <w:szCs w:val="24"/>
              </w:rPr>
              <w:t>AMC 145.A.47(a) Production planning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52</w:t>
            </w:r>
            <w:r w:rsidRPr="00892E1E">
              <w:rPr>
                <w:rFonts w:ascii="Times New Roman" w:hAnsi="Times New Roman"/>
                <w:webHidden/>
                <w:sz w:val="24"/>
                <w:szCs w:val="24"/>
              </w:rPr>
              <w:fldChar w:fldCharType="end"/>
            </w:r>
          </w:hyperlink>
        </w:p>
        <w:p w14:paraId="0417876B" w14:textId="63D9D19B" w:rsidR="005E6F31" w:rsidRPr="00892E1E" w:rsidRDefault="005E6F31">
          <w:pPr>
            <w:pStyle w:val="TOC2"/>
            <w:rPr>
              <w:rFonts w:ascii="Times New Roman" w:hAnsi="Times New Roman"/>
              <w:kern w:val="2"/>
              <w:sz w:val="24"/>
              <w:szCs w:val="24"/>
              <w14:ligatures w14:val="standardContextual"/>
            </w:rPr>
          </w:pPr>
          <w:hyperlink w:anchor="_Toc241066092" w:history="1">
            <w:r w:rsidRPr="00892E1E">
              <w:rPr>
                <w:rStyle w:val="Hyperlink"/>
                <w:rFonts w:ascii="Times New Roman" w:hAnsi="Times New Roman"/>
                <w:sz w:val="24"/>
                <w:szCs w:val="24"/>
              </w:rPr>
              <w:t>AMC1 145.A.47(b) Production planning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53</w:t>
            </w:r>
            <w:r w:rsidRPr="00892E1E">
              <w:rPr>
                <w:rFonts w:ascii="Times New Roman" w:hAnsi="Times New Roman"/>
                <w:webHidden/>
                <w:sz w:val="24"/>
                <w:szCs w:val="24"/>
              </w:rPr>
              <w:fldChar w:fldCharType="end"/>
            </w:r>
          </w:hyperlink>
        </w:p>
        <w:p w14:paraId="15B2B42B" w14:textId="7AD60E2A" w:rsidR="005E6F31" w:rsidRPr="00892E1E" w:rsidRDefault="005E6F31">
          <w:pPr>
            <w:pStyle w:val="TOC2"/>
            <w:rPr>
              <w:rFonts w:ascii="Times New Roman" w:hAnsi="Times New Roman"/>
              <w:kern w:val="2"/>
              <w:sz w:val="24"/>
              <w:szCs w:val="24"/>
              <w14:ligatures w14:val="standardContextual"/>
            </w:rPr>
          </w:pPr>
          <w:hyperlink w:anchor="_Toc241066093" w:history="1">
            <w:r w:rsidRPr="00892E1E">
              <w:rPr>
                <w:rStyle w:val="Hyperlink"/>
                <w:rFonts w:ascii="Times New Roman" w:hAnsi="Times New Roman"/>
                <w:sz w:val="24"/>
                <w:szCs w:val="24"/>
              </w:rPr>
              <w:t>GM1 145.A.47(b) Production planning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54</w:t>
            </w:r>
            <w:r w:rsidRPr="00892E1E">
              <w:rPr>
                <w:rFonts w:ascii="Times New Roman" w:hAnsi="Times New Roman"/>
                <w:webHidden/>
                <w:sz w:val="24"/>
                <w:szCs w:val="24"/>
              </w:rPr>
              <w:fldChar w:fldCharType="end"/>
            </w:r>
          </w:hyperlink>
        </w:p>
        <w:p w14:paraId="03B6941E" w14:textId="3BD1D05E" w:rsidR="005E6F31" w:rsidRPr="00892E1E" w:rsidRDefault="005E6F31">
          <w:pPr>
            <w:pStyle w:val="TOC2"/>
            <w:rPr>
              <w:rFonts w:ascii="Times New Roman" w:hAnsi="Times New Roman"/>
              <w:kern w:val="2"/>
              <w:sz w:val="24"/>
              <w:szCs w:val="24"/>
              <w14:ligatures w14:val="standardContextual"/>
            </w:rPr>
          </w:pPr>
          <w:hyperlink w:anchor="_Toc241066094" w:history="1">
            <w:r w:rsidRPr="00892E1E">
              <w:rPr>
                <w:rStyle w:val="Hyperlink"/>
                <w:rFonts w:ascii="Times New Roman" w:hAnsi="Times New Roman"/>
                <w:sz w:val="24"/>
                <w:szCs w:val="24"/>
              </w:rPr>
              <w:t>AMC 145.A.47(c) Production planning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54</w:t>
            </w:r>
            <w:r w:rsidRPr="00892E1E">
              <w:rPr>
                <w:rFonts w:ascii="Times New Roman" w:hAnsi="Times New Roman"/>
                <w:webHidden/>
                <w:sz w:val="24"/>
                <w:szCs w:val="24"/>
              </w:rPr>
              <w:fldChar w:fldCharType="end"/>
            </w:r>
          </w:hyperlink>
        </w:p>
        <w:p w14:paraId="0E5CE2BF" w14:textId="0368770A" w:rsidR="005E6F31" w:rsidRPr="00892E1E" w:rsidRDefault="005E6F31">
          <w:pPr>
            <w:pStyle w:val="TOC2"/>
            <w:rPr>
              <w:rFonts w:ascii="Times New Roman" w:hAnsi="Times New Roman"/>
              <w:kern w:val="2"/>
              <w:sz w:val="24"/>
              <w:szCs w:val="24"/>
              <w14:ligatures w14:val="standardContextual"/>
            </w:rPr>
          </w:pPr>
          <w:hyperlink w:anchor="_Toc241066095" w:history="1">
            <w:r w:rsidRPr="00892E1E">
              <w:rPr>
                <w:rStyle w:val="Hyperlink"/>
                <w:rFonts w:ascii="Times New Roman" w:hAnsi="Times New Roman"/>
                <w:sz w:val="24"/>
                <w:szCs w:val="24"/>
              </w:rPr>
              <w:t>GM1 145.A.47(d) Production planning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54</w:t>
            </w:r>
            <w:r w:rsidRPr="00892E1E">
              <w:rPr>
                <w:rFonts w:ascii="Times New Roman" w:hAnsi="Times New Roman"/>
                <w:webHidden/>
                <w:sz w:val="24"/>
                <w:szCs w:val="24"/>
              </w:rPr>
              <w:fldChar w:fldCharType="end"/>
            </w:r>
          </w:hyperlink>
        </w:p>
        <w:p w14:paraId="1C73746F" w14:textId="20A07A5D" w:rsidR="005E6F31" w:rsidRPr="00892E1E" w:rsidRDefault="005E6F31">
          <w:pPr>
            <w:pStyle w:val="TOC2"/>
            <w:rPr>
              <w:rFonts w:ascii="Times New Roman" w:hAnsi="Times New Roman"/>
              <w:kern w:val="2"/>
              <w:sz w:val="24"/>
              <w:szCs w:val="24"/>
              <w14:ligatures w14:val="standardContextual"/>
            </w:rPr>
          </w:pPr>
          <w:hyperlink w:anchor="_Toc241066096" w:history="1">
            <w:r w:rsidRPr="00892E1E">
              <w:rPr>
                <w:rStyle w:val="Hyperlink"/>
                <w:rFonts w:ascii="Times New Roman" w:hAnsi="Times New Roman"/>
                <w:sz w:val="24"/>
                <w:szCs w:val="24"/>
              </w:rPr>
              <w:t>GM 145.A.48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55</w:t>
            </w:r>
            <w:r w:rsidRPr="00892E1E">
              <w:rPr>
                <w:rFonts w:ascii="Times New Roman" w:hAnsi="Times New Roman"/>
                <w:webHidden/>
                <w:sz w:val="24"/>
                <w:szCs w:val="24"/>
              </w:rPr>
              <w:fldChar w:fldCharType="end"/>
            </w:r>
          </w:hyperlink>
        </w:p>
        <w:p w14:paraId="14467EE6" w14:textId="086F0157" w:rsidR="005E6F31" w:rsidRPr="00892E1E" w:rsidRDefault="005E6F31">
          <w:pPr>
            <w:pStyle w:val="TOC2"/>
            <w:rPr>
              <w:rFonts w:ascii="Times New Roman" w:hAnsi="Times New Roman"/>
              <w:kern w:val="2"/>
              <w:sz w:val="24"/>
              <w:szCs w:val="24"/>
              <w14:ligatures w14:val="standardContextual"/>
            </w:rPr>
          </w:pPr>
          <w:hyperlink w:anchor="_Toc241066097" w:history="1">
            <w:r w:rsidRPr="00892E1E">
              <w:rPr>
                <w:rStyle w:val="Hyperlink"/>
                <w:rFonts w:ascii="Times New Roman" w:hAnsi="Times New Roman"/>
                <w:sz w:val="24"/>
                <w:szCs w:val="24"/>
              </w:rPr>
              <w:t>AMC1 145.A.48(a)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55</w:t>
            </w:r>
            <w:r w:rsidRPr="00892E1E">
              <w:rPr>
                <w:rFonts w:ascii="Times New Roman" w:hAnsi="Times New Roman"/>
                <w:webHidden/>
                <w:sz w:val="24"/>
                <w:szCs w:val="24"/>
              </w:rPr>
              <w:fldChar w:fldCharType="end"/>
            </w:r>
          </w:hyperlink>
        </w:p>
        <w:p w14:paraId="6F7EF659" w14:textId="175C694E" w:rsidR="005E6F31" w:rsidRPr="00892E1E" w:rsidRDefault="005E6F31">
          <w:pPr>
            <w:pStyle w:val="TOC2"/>
            <w:rPr>
              <w:rFonts w:ascii="Times New Roman" w:hAnsi="Times New Roman"/>
              <w:kern w:val="2"/>
              <w:sz w:val="24"/>
              <w:szCs w:val="24"/>
              <w14:ligatures w14:val="standardContextual"/>
            </w:rPr>
          </w:pPr>
          <w:hyperlink w:anchor="_Toc241066098" w:history="1">
            <w:r w:rsidRPr="00892E1E">
              <w:rPr>
                <w:rStyle w:val="Hyperlink"/>
                <w:rFonts w:ascii="Times New Roman" w:hAnsi="Times New Roman"/>
                <w:sz w:val="24"/>
                <w:szCs w:val="24"/>
              </w:rPr>
              <w:t>GM1 145.A.48(c)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55</w:t>
            </w:r>
            <w:r w:rsidRPr="00892E1E">
              <w:rPr>
                <w:rFonts w:ascii="Times New Roman" w:hAnsi="Times New Roman"/>
                <w:webHidden/>
                <w:sz w:val="24"/>
                <w:szCs w:val="24"/>
              </w:rPr>
              <w:fldChar w:fldCharType="end"/>
            </w:r>
          </w:hyperlink>
        </w:p>
        <w:p w14:paraId="74BDA865" w14:textId="79BC2602" w:rsidR="005E6F31" w:rsidRPr="00892E1E" w:rsidRDefault="005E6F31">
          <w:pPr>
            <w:pStyle w:val="TOC2"/>
            <w:rPr>
              <w:rFonts w:ascii="Times New Roman" w:hAnsi="Times New Roman"/>
              <w:kern w:val="2"/>
              <w:sz w:val="24"/>
              <w:szCs w:val="24"/>
              <w14:ligatures w14:val="standardContextual"/>
            </w:rPr>
          </w:pPr>
          <w:hyperlink w:anchor="_Toc241066099" w:history="1">
            <w:r w:rsidRPr="00892E1E">
              <w:rPr>
                <w:rStyle w:val="Hyperlink"/>
                <w:rFonts w:ascii="Times New Roman" w:hAnsi="Times New Roman"/>
                <w:sz w:val="24"/>
                <w:szCs w:val="24"/>
              </w:rPr>
              <w:t>AMC1 145.A.48(c)(2)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_Toc241066099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55</w:t>
            </w:r>
            <w:r w:rsidRPr="00892E1E">
              <w:rPr>
                <w:rFonts w:ascii="Times New Roman" w:hAnsi="Times New Roman"/>
                <w:webHidden/>
                <w:sz w:val="24"/>
                <w:szCs w:val="24"/>
              </w:rPr>
              <w:fldChar w:fldCharType="end"/>
            </w:r>
          </w:hyperlink>
        </w:p>
        <w:p w14:paraId="2AF21278" w14:textId="3CF88685" w:rsidR="005E6F31" w:rsidRPr="00892E1E" w:rsidRDefault="005E6F31">
          <w:pPr>
            <w:pStyle w:val="TOC2"/>
            <w:rPr>
              <w:rFonts w:ascii="Times New Roman" w:hAnsi="Times New Roman"/>
              <w:kern w:val="2"/>
              <w:sz w:val="24"/>
              <w:szCs w:val="24"/>
              <w14:ligatures w14:val="standardContextual"/>
            </w:rPr>
          </w:pPr>
          <w:hyperlink w:anchor="_Toc241066100" w:history="1">
            <w:r w:rsidRPr="00892E1E">
              <w:rPr>
                <w:rStyle w:val="Hyperlink"/>
                <w:rFonts w:ascii="Times New Roman" w:hAnsi="Times New Roman"/>
                <w:sz w:val="24"/>
                <w:szCs w:val="24"/>
              </w:rPr>
              <w:t>AMC2 145.A.48(c)(2)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56</w:t>
            </w:r>
            <w:r w:rsidRPr="00892E1E">
              <w:rPr>
                <w:rFonts w:ascii="Times New Roman" w:hAnsi="Times New Roman"/>
                <w:webHidden/>
                <w:sz w:val="24"/>
                <w:szCs w:val="24"/>
              </w:rPr>
              <w:fldChar w:fldCharType="end"/>
            </w:r>
          </w:hyperlink>
        </w:p>
        <w:p w14:paraId="23BB4F1A" w14:textId="29D43605" w:rsidR="005E6F31" w:rsidRPr="00892E1E" w:rsidRDefault="005E6F31">
          <w:pPr>
            <w:pStyle w:val="TOC2"/>
            <w:rPr>
              <w:rFonts w:ascii="Times New Roman" w:hAnsi="Times New Roman"/>
              <w:kern w:val="2"/>
              <w:sz w:val="24"/>
              <w:szCs w:val="24"/>
              <w14:ligatures w14:val="standardContextual"/>
            </w:rPr>
          </w:pPr>
          <w:hyperlink w:anchor="_Toc241066101" w:history="1">
            <w:r w:rsidRPr="00892E1E">
              <w:rPr>
                <w:rStyle w:val="Hyperlink"/>
                <w:rFonts w:ascii="Times New Roman" w:hAnsi="Times New Roman"/>
                <w:sz w:val="24"/>
                <w:szCs w:val="24"/>
              </w:rPr>
              <w:t>AMC3 145.A.48(c)(2)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56</w:t>
            </w:r>
            <w:r w:rsidRPr="00892E1E">
              <w:rPr>
                <w:rFonts w:ascii="Times New Roman" w:hAnsi="Times New Roman"/>
                <w:webHidden/>
                <w:sz w:val="24"/>
                <w:szCs w:val="24"/>
              </w:rPr>
              <w:fldChar w:fldCharType="end"/>
            </w:r>
          </w:hyperlink>
        </w:p>
        <w:p w14:paraId="63D65330" w14:textId="40B6604D" w:rsidR="005E6F31" w:rsidRPr="00892E1E" w:rsidRDefault="005E6F31">
          <w:pPr>
            <w:pStyle w:val="TOC2"/>
            <w:rPr>
              <w:rFonts w:ascii="Times New Roman" w:hAnsi="Times New Roman"/>
              <w:kern w:val="2"/>
              <w:sz w:val="24"/>
              <w:szCs w:val="24"/>
              <w14:ligatures w14:val="standardContextual"/>
            </w:rPr>
          </w:pPr>
          <w:hyperlink w:anchor="_Toc241066102" w:history="1">
            <w:r w:rsidRPr="00892E1E">
              <w:rPr>
                <w:rStyle w:val="Hyperlink"/>
                <w:rFonts w:ascii="Times New Roman" w:hAnsi="Times New Roman"/>
                <w:sz w:val="24"/>
                <w:szCs w:val="24"/>
              </w:rPr>
              <w:t>AMC4 145.A.48(c)(2)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56</w:t>
            </w:r>
            <w:r w:rsidRPr="00892E1E">
              <w:rPr>
                <w:rFonts w:ascii="Times New Roman" w:hAnsi="Times New Roman"/>
                <w:webHidden/>
                <w:sz w:val="24"/>
                <w:szCs w:val="24"/>
              </w:rPr>
              <w:fldChar w:fldCharType="end"/>
            </w:r>
          </w:hyperlink>
        </w:p>
        <w:p w14:paraId="304241DD" w14:textId="22BA978B" w:rsidR="005E6F31" w:rsidRPr="00892E1E" w:rsidRDefault="005E6F31">
          <w:pPr>
            <w:pStyle w:val="TOC2"/>
            <w:rPr>
              <w:rFonts w:ascii="Times New Roman" w:hAnsi="Times New Roman"/>
              <w:kern w:val="2"/>
              <w:sz w:val="24"/>
              <w:szCs w:val="24"/>
              <w14:ligatures w14:val="standardContextual"/>
            </w:rPr>
          </w:pPr>
          <w:hyperlink w:anchor="_Toc241066103" w:history="1">
            <w:r w:rsidRPr="00892E1E">
              <w:rPr>
                <w:rStyle w:val="Hyperlink"/>
                <w:rFonts w:ascii="Times New Roman" w:hAnsi="Times New Roman"/>
                <w:sz w:val="24"/>
                <w:szCs w:val="24"/>
              </w:rPr>
              <w:t>AMC1 145.A.48(c)(3)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58</w:t>
            </w:r>
            <w:r w:rsidRPr="00892E1E">
              <w:rPr>
                <w:rFonts w:ascii="Times New Roman" w:hAnsi="Times New Roman"/>
                <w:webHidden/>
                <w:sz w:val="24"/>
                <w:szCs w:val="24"/>
              </w:rPr>
              <w:fldChar w:fldCharType="end"/>
            </w:r>
          </w:hyperlink>
        </w:p>
        <w:p w14:paraId="78E58490" w14:textId="2134874F" w:rsidR="005E6F31" w:rsidRPr="00892E1E" w:rsidRDefault="005E6F31">
          <w:pPr>
            <w:pStyle w:val="TOC2"/>
            <w:rPr>
              <w:rFonts w:ascii="Times New Roman" w:hAnsi="Times New Roman"/>
              <w:kern w:val="2"/>
              <w:sz w:val="24"/>
              <w:szCs w:val="24"/>
              <w14:ligatures w14:val="standardContextual"/>
            </w:rPr>
          </w:pPr>
          <w:hyperlink w:anchor="_Toc241066104" w:history="1">
            <w:r w:rsidRPr="00892E1E">
              <w:rPr>
                <w:rStyle w:val="Hyperlink"/>
                <w:rFonts w:ascii="Times New Roman" w:hAnsi="Times New Roman"/>
                <w:sz w:val="24"/>
                <w:szCs w:val="24"/>
              </w:rPr>
              <w:t>GM1 145.A.48(c)(3) Performance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58</w:t>
            </w:r>
            <w:r w:rsidRPr="00892E1E">
              <w:rPr>
                <w:rFonts w:ascii="Times New Roman" w:hAnsi="Times New Roman"/>
                <w:webHidden/>
                <w:sz w:val="24"/>
                <w:szCs w:val="24"/>
              </w:rPr>
              <w:fldChar w:fldCharType="end"/>
            </w:r>
          </w:hyperlink>
        </w:p>
        <w:p w14:paraId="181B7AE1" w14:textId="2E6202FB" w:rsidR="005E6F31" w:rsidRPr="00892E1E" w:rsidRDefault="005E6F31">
          <w:pPr>
            <w:pStyle w:val="TOC2"/>
            <w:rPr>
              <w:rFonts w:ascii="Times New Roman" w:hAnsi="Times New Roman"/>
              <w:kern w:val="2"/>
              <w:sz w:val="24"/>
              <w:szCs w:val="24"/>
              <w14:ligatures w14:val="standardContextual"/>
            </w:rPr>
          </w:pPr>
          <w:hyperlink w:anchor="_Toc241066105" w:history="1">
            <w:r w:rsidRPr="00892E1E">
              <w:rPr>
                <w:rStyle w:val="Hyperlink"/>
                <w:rFonts w:ascii="Times New Roman" w:hAnsi="Times New Roman"/>
                <w:sz w:val="24"/>
                <w:szCs w:val="24"/>
              </w:rPr>
              <w:t>AMC 145.A.50 Certification of maintenance after embodiment of a Standard Change or Standard Repair (SC/SR)</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58</w:t>
            </w:r>
            <w:r w:rsidRPr="00892E1E">
              <w:rPr>
                <w:rFonts w:ascii="Times New Roman" w:hAnsi="Times New Roman"/>
                <w:webHidden/>
                <w:sz w:val="24"/>
                <w:szCs w:val="24"/>
              </w:rPr>
              <w:fldChar w:fldCharType="end"/>
            </w:r>
          </w:hyperlink>
        </w:p>
        <w:p w14:paraId="7145D93C" w14:textId="3D0A9568" w:rsidR="005E6F31" w:rsidRPr="00892E1E" w:rsidRDefault="005E6F31">
          <w:pPr>
            <w:pStyle w:val="TOC2"/>
            <w:rPr>
              <w:rFonts w:ascii="Times New Roman" w:hAnsi="Times New Roman"/>
              <w:kern w:val="2"/>
              <w:sz w:val="24"/>
              <w:szCs w:val="24"/>
              <w14:ligatures w14:val="standardContextual"/>
            </w:rPr>
          </w:pPr>
          <w:hyperlink w:anchor="_Toc241066106" w:history="1">
            <w:r w:rsidRPr="00892E1E">
              <w:rPr>
                <w:rStyle w:val="Hyperlink"/>
                <w:rFonts w:ascii="Times New Roman" w:hAnsi="Times New Roman"/>
                <w:sz w:val="24"/>
                <w:szCs w:val="24"/>
              </w:rPr>
              <w:t>GM1 145.A.50(a) Certification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58</w:t>
            </w:r>
            <w:r w:rsidRPr="00892E1E">
              <w:rPr>
                <w:rFonts w:ascii="Times New Roman" w:hAnsi="Times New Roman"/>
                <w:webHidden/>
                <w:sz w:val="24"/>
                <w:szCs w:val="24"/>
              </w:rPr>
              <w:fldChar w:fldCharType="end"/>
            </w:r>
          </w:hyperlink>
        </w:p>
        <w:p w14:paraId="1FABC849" w14:textId="13C1D23B" w:rsidR="005E6F31" w:rsidRPr="00892E1E" w:rsidRDefault="005E6F31">
          <w:pPr>
            <w:pStyle w:val="TOC2"/>
            <w:rPr>
              <w:rFonts w:ascii="Times New Roman" w:hAnsi="Times New Roman"/>
              <w:kern w:val="2"/>
              <w:sz w:val="24"/>
              <w:szCs w:val="24"/>
              <w14:ligatures w14:val="standardContextual"/>
            </w:rPr>
          </w:pPr>
          <w:hyperlink w:anchor="_Toc241066107" w:history="1">
            <w:r w:rsidRPr="00892E1E">
              <w:rPr>
                <w:rStyle w:val="Hyperlink"/>
                <w:rFonts w:ascii="Times New Roman" w:hAnsi="Times New Roman"/>
                <w:sz w:val="24"/>
                <w:szCs w:val="24"/>
              </w:rPr>
              <w:t>AMC 145.A.50(b) Certification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59</w:t>
            </w:r>
            <w:r w:rsidRPr="00892E1E">
              <w:rPr>
                <w:rFonts w:ascii="Times New Roman" w:hAnsi="Times New Roman"/>
                <w:webHidden/>
                <w:sz w:val="24"/>
                <w:szCs w:val="24"/>
              </w:rPr>
              <w:fldChar w:fldCharType="end"/>
            </w:r>
          </w:hyperlink>
        </w:p>
        <w:p w14:paraId="1C2F6B2B" w14:textId="6EB694CE" w:rsidR="005E6F31" w:rsidRPr="00892E1E" w:rsidRDefault="005E6F31">
          <w:pPr>
            <w:pStyle w:val="TOC2"/>
            <w:rPr>
              <w:rFonts w:ascii="Times New Roman" w:hAnsi="Times New Roman"/>
              <w:kern w:val="2"/>
              <w:sz w:val="24"/>
              <w:szCs w:val="24"/>
              <w14:ligatures w14:val="standardContextual"/>
            </w:rPr>
          </w:pPr>
          <w:hyperlink w:anchor="_Toc241066108" w:history="1">
            <w:r w:rsidRPr="00892E1E">
              <w:rPr>
                <w:rStyle w:val="Hyperlink"/>
                <w:rFonts w:ascii="Times New Roman" w:hAnsi="Times New Roman"/>
                <w:sz w:val="24"/>
                <w:szCs w:val="24"/>
              </w:rPr>
              <w:t>AMC1 145.A.50(d) Certification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59</w:t>
            </w:r>
            <w:r w:rsidRPr="00892E1E">
              <w:rPr>
                <w:rFonts w:ascii="Times New Roman" w:hAnsi="Times New Roman"/>
                <w:webHidden/>
                <w:sz w:val="24"/>
                <w:szCs w:val="24"/>
              </w:rPr>
              <w:fldChar w:fldCharType="end"/>
            </w:r>
          </w:hyperlink>
        </w:p>
        <w:p w14:paraId="622F1182" w14:textId="1E6C4E59" w:rsidR="005E6F31" w:rsidRPr="00892E1E" w:rsidRDefault="005E6F31">
          <w:pPr>
            <w:pStyle w:val="TOC2"/>
            <w:rPr>
              <w:rFonts w:ascii="Times New Roman" w:hAnsi="Times New Roman"/>
              <w:kern w:val="2"/>
              <w:sz w:val="24"/>
              <w:szCs w:val="24"/>
              <w14:ligatures w14:val="standardContextual"/>
            </w:rPr>
          </w:pPr>
          <w:hyperlink w:anchor="_Toc241066109" w:history="1">
            <w:r w:rsidRPr="00892E1E">
              <w:rPr>
                <w:rStyle w:val="Hyperlink"/>
                <w:rFonts w:ascii="Times New Roman" w:hAnsi="Times New Roman"/>
                <w:sz w:val="24"/>
                <w:szCs w:val="24"/>
              </w:rPr>
              <w:t>AMC2 145.A.50(d) Certification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_Toc241066109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60</w:t>
            </w:r>
            <w:r w:rsidRPr="00892E1E">
              <w:rPr>
                <w:rFonts w:ascii="Times New Roman" w:hAnsi="Times New Roman"/>
                <w:webHidden/>
                <w:sz w:val="24"/>
                <w:szCs w:val="24"/>
              </w:rPr>
              <w:fldChar w:fldCharType="end"/>
            </w:r>
          </w:hyperlink>
        </w:p>
        <w:p w14:paraId="42BF8D9B" w14:textId="60592309" w:rsidR="005E6F31" w:rsidRPr="00892E1E" w:rsidRDefault="005E6F31">
          <w:pPr>
            <w:pStyle w:val="TOC2"/>
            <w:rPr>
              <w:rFonts w:ascii="Times New Roman" w:hAnsi="Times New Roman"/>
              <w:kern w:val="2"/>
              <w:sz w:val="24"/>
              <w:szCs w:val="24"/>
              <w14:ligatures w14:val="standardContextual"/>
            </w:rPr>
          </w:pPr>
          <w:hyperlink w:anchor="_Toc241066110" w:history="1">
            <w:r w:rsidRPr="00892E1E">
              <w:rPr>
                <w:rStyle w:val="Hyperlink"/>
                <w:rFonts w:ascii="Times New Roman" w:hAnsi="Times New Roman"/>
                <w:sz w:val="24"/>
                <w:szCs w:val="24"/>
              </w:rPr>
              <w:t>GM 145.A.50(d) CAA Form 1 Block 12 ‘Remarks’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63</w:t>
            </w:r>
            <w:r w:rsidRPr="00892E1E">
              <w:rPr>
                <w:rFonts w:ascii="Times New Roman" w:hAnsi="Times New Roman"/>
                <w:webHidden/>
                <w:sz w:val="24"/>
                <w:szCs w:val="24"/>
              </w:rPr>
              <w:fldChar w:fldCharType="end"/>
            </w:r>
          </w:hyperlink>
        </w:p>
        <w:p w14:paraId="49A843EE" w14:textId="1F28A89E" w:rsidR="005E6F31" w:rsidRPr="00892E1E" w:rsidRDefault="005E6F31">
          <w:pPr>
            <w:pStyle w:val="TOC2"/>
            <w:rPr>
              <w:rFonts w:ascii="Times New Roman" w:hAnsi="Times New Roman"/>
              <w:kern w:val="2"/>
              <w:sz w:val="24"/>
              <w:szCs w:val="24"/>
              <w14:ligatures w14:val="standardContextual"/>
            </w:rPr>
          </w:pPr>
          <w:hyperlink w:anchor="_Toc241066111" w:history="1">
            <w:r w:rsidRPr="00892E1E">
              <w:rPr>
                <w:rStyle w:val="Hyperlink"/>
                <w:rFonts w:ascii="Times New Roman" w:hAnsi="Times New Roman"/>
                <w:sz w:val="24"/>
                <w:szCs w:val="24"/>
              </w:rPr>
              <w:t>AMC1 145.A.50(e) Certification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63</w:t>
            </w:r>
            <w:r w:rsidRPr="00892E1E">
              <w:rPr>
                <w:rFonts w:ascii="Times New Roman" w:hAnsi="Times New Roman"/>
                <w:webHidden/>
                <w:sz w:val="24"/>
                <w:szCs w:val="24"/>
              </w:rPr>
              <w:fldChar w:fldCharType="end"/>
            </w:r>
          </w:hyperlink>
        </w:p>
        <w:p w14:paraId="5742EC62" w14:textId="34AF7BF9" w:rsidR="005E6F31" w:rsidRPr="00892E1E" w:rsidRDefault="005E6F31">
          <w:pPr>
            <w:pStyle w:val="TOC2"/>
            <w:rPr>
              <w:rFonts w:ascii="Times New Roman" w:hAnsi="Times New Roman"/>
              <w:kern w:val="2"/>
              <w:sz w:val="24"/>
              <w:szCs w:val="24"/>
              <w14:ligatures w14:val="standardContextual"/>
            </w:rPr>
          </w:pPr>
          <w:hyperlink w:anchor="_Toc241066112" w:history="1">
            <w:r w:rsidRPr="00892E1E">
              <w:rPr>
                <w:rStyle w:val="Hyperlink"/>
                <w:rFonts w:ascii="Times New Roman" w:hAnsi="Times New Roman"/>
                <w:sz w:val="24"/>
                <w:szCs w:val="24"/>
              </w:rPr>
              <w:t>AMC1 145.A.50(f) Certification of maintenance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64</w:t>
            </w:r>
            <w:r w:rsidRPr="00892E1E">
              <w:rPr>
                <w:rFonts w:ascii="Times New Roman" w:hAnsi="Times New Roman"/>
                <w:webHidden/>
                <w:sz w:val="24"/>
                <w:szCs w:val="24"/>
              </w:rPr>
              <w:fldChar w:fldCharType="end"/>
            </w:r>
          </w:hyperlink>
        </w:p>
        <w:p w14:paraId="3D734D29" w14:textId="1E831187" w:rsidR="005E6F31" w:rsidRPr="00892E1E" w:rsidRDefault="005E6F31">
          <w:pPr>
            <w:pStyle w:val="TOC2"/>
            <w:rPr>
              <w:rFonts w:ascii="Times New Roman" w:hAnsi="Times New Roman"/>
              <w:kern w:val="2"/>
              <w:sz w:val="24"/>
              <w:szCs w:val="24"/>
              <w14:ligatures w14:val="standardContextual"/>
            </w:rPr>
          </w:pPr>
          <w:hyperlink w:anchor="_Toc241066113" w:history="1">
            <w:r w:rsidRPr="00892E1E">
              <w:rPr>
                <w:rStyle w:val="Hyperlink"/>
                <w:rFonts w:ascii="Times New Roman" w:hAnsi="Times New Roman"/>
                <w:sz w:val="24"/>
                <w:szCs w:val="24"/>
              </w:rPr>
              <w:t>AMC1 145.A.55 Record-keeping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64</w:t>
            </w:r>
            <w:r w:rsidRPr="00892E1E">
              <w:rPr>
                <w:rFonts w:ascii="Times New Roman" w:hAnsi="Times New Roman"/>
                <w:webHidden/>
                <w:sz w:val="24"/>
                <w:szCs w:val="24"/>
              </w:rPr>
              <w:fldChar w:fldCharType="end"/>
            </w:r>
          </w:hyperlink>
        </w:p>
        <w:p w14:paraId="0B63E468" w14:textId="40E64EBB" w:rsidR="005E6F31" w:rsidRPr="00892E1E" w:rsidRDefault="005E6F31">
          <w:pPr>
            <w:pStyle w:val="TOC2"/>
            <w:rPr>
              <w:rFonts w:ascii="Times New Roman" w:hAnsi="Times New Roman"/>
              <w:kern w:val="2"/>
              <w:sz w:val="24"/>
              <w:szCs w:val="24"/>
              <w14:ligatures w14:val="standardContextual"/>
            </w:rPr>
          </w:pPr>
          <w:hyperlink w:anchor="_Toc241066114" w:history="1">
            <w:r w:rsidRPr="00892E1E">
              <w:rPr>
                <w:rStyle w:val="Hyperlink"/>
                <w:rFonts w:ascii="Times New Roman" w:hAnsi="Times New Roman"/>
                <w:sz w:val="24"/>
                <w:szCs w:val="24"/>
              </w:rPr>
              <w:t>GM1 145.A.55 Record-keeping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65</w:t>
            </w:r>
            <w:r w:rsidRPr="00892E1E">
              <w:rPr>
                <w:rFonts w:ascii="Times New Roman" w:hAnsi="Times New Roman"/>
                <w:webHidden/>
                <w:sz w:val="24"/>
                <w:szCs w:val="24"/>
              </w:rPr>
              <w:fldChar w:fldCharType="end"/>
            </w:r>
          </w:hyperlink>
        </w:p>
        <w:p w14:paraId="123E1A57" w14:textId="37394D9B" w:rsidR="005E6F31" w:rsidRPr="00892E1E" w:rsidRDefault="005E6F31">
          <w:pPr>
            <w:pStyle w:val="TOC2"/>
            <w:rPr>
              <w:rFonts w:ascii="Times New Roman" w:hAnsi="Times New Roman"/>
              <w:kern w:val="2"/>
              <w:sz w:val="24"/>
              <w:szCs w:val="24"/>
              <w14:ligatures w14:val="standardContextual"/>
            </w:rPr>
          </w:pPr>
          <w:hyperlink w:anchor="_Toc241066115" w:history="1">
            <w:r w:rsidRPr="00892E1E">
              <w:rPr>
                <w:rStyle w:val="Hyperlink"/>
                <w:rFonts w:ascii="Times New Roman" w:hAnsi="Times New Roman"/>
                <w:sz w:val="24"/>
                <w:szCs w:val="24"/>
              </w:rPr>
              <w:t>GM1 145.A.55(a)(1) Record-keeping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65</w:t>
            </w:r>
            <w:r w:rsidRPr="00892E1E">
              <w:rPr>
                <w:rFonts w:ascii="Times New Roman" w:hAnsi="Times New Roman"/>
                <w:webHidden/>
                <w:sz w:val="24"/>
                <w:szCs w:val="24"/>
              </w:rPr>
              <w:fldChar w:fldCharType="end"/>
            </w:r>
          </w:hyperlink>
        </w:p>
        <w:p w14:paraId="738523B0" w14:textId="6BD1A0F2" w:rsidR="005E6F31" w:rsidRPr="00892E1E" w:rsidRDefault="005E6F31">
          <w:pPr>
            <w:pStyle w:val="TOC2"/>
            <w:rPr>
              <w:rFonts w:ascii="Times New Roman" w:hAnsi="Times New Roman"/>
              <w:kern w:val="2"/>
              <w:sz w:val="24"/>
              <w:szCs w:val="24"/>
              <w14:ligatures w14:val="standardContextual"/>
            </w:rPr>
          </w:pPr>
          <w:hyperlink w:anchor="_Toc241066116" w:history="1">
            <w:r w:rsidRPr="00892E1E">
              <w:rPr>
                <w:rStyle w:val="Hyperlink"/>
                <w:rFonts w:ascii="Times New Roman" w:hAnsi="Times New Roman"/>
                <w:sz w:val="24"/>
                <w:szCs w:val="24"/>
              </w:rPr>
              <w:t>AMC1 145.A.55(a)(3) Record-keeping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65</w:t>
            </w:r>
            <w:r w:rsidRPr="00892E1E">
              <w:rPr>
                <w:rFonts w:ascii="Times New Roman" w:hAnsi="Times New Roman"/>
                <w:webHidden/>
                <w:sz w:val="24"/>
                <w:szCs w:val="24"/>
              </w:rPr>
              <w:fldChar w:fldCharType="end"/>
            </w:r>
          </w:hyperlink>
        </w:p>
        <w:p w14:paraId="55B71DF5" w14:textId="12A3D43D" w:rsidR="005E6F31" w:rsidRPr="00892E1E" w:rsidRDefault="005E6F31">
          <w:pPr>
            <w:pStyle w:val="TOC2"/>
            <w:rPr>
              <w:rFonts w:ascii="Times New Roman" w:hAnsi="Times New Roman"/>
              <w:kern w:val="2"/>
              <w:sz w:val="24"/>
              <w:szCs w:val="24"/>
              <w14:ligatures w14:val="standardContextual"/>
            </w:rPr>
          </w:pPr>
          <w:hyperlink w:anchor="_Toc241066117" w:history="1">
            <w:r w:rsidRPr="00892E1E">
              <w:rPr>
                <w:rStyle w:val="Hyperlink"/>
                <w:rFonts w:ascii="Times New Roman" w:hAnsi="Times New Roman"/>
                <w:sz w:val="24"/>
                <w:szCs w:val="24"/>
              </w:rPr>
              <w:t>AMC1 145.A.55(d) Record-keeping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66</w:t>
            </w:r>
            <w:r w:rsidRPr="00892E1E">
              <w:rPr>
                <w:rFonts w:ascii="Times New Roman" w:hAnsi="Times New Roman"/>
                <w:webHidden/>
                <w:sz w:val="24"/>
                <w:szCs w:val="24"/>
              </w:rPr>
              <w:fldChar w:fldCharType="end"/>
            </w:r>
          </w:hyperlink>
        </w:p>
        <w:p w14:paraId="6D052621" w14:textId="762BBF75" w:rsidR="005E6F31" w:rsidRPr="00892E1E" w:rsidRDefault="005E6F31">
          <w:pPr>
            <w:pStyle w:val="TOC2"/>
            <w:rPr>
              <w:rFonts w:ascii="Times New Roman" w:hAnsi="Times New Roman"/>
              <w:kern w:val="2"/>
              <w:sz w:val="24"/>
              <w:szCs w:val="24"/>
              <w14:ligatures w14:val="standardContextual"/>
            </w:rPr>
          </w:pPr>
          <w:hyperlink w:anchor="_Toc241066118" w:history="1">
            <w:r w:rsidRPr="00892E1E">
              <w:rPr>
                <w:rStyle w:val="Hyperlink"/>
                <w:rFonts w:ascii="Times New Roman" w:hAnsi="Times New Roman"/>
                <w:sz w:val="24"/>
                <w:szCs w:val="24"/>
              </w:rPr>
              <w:t>AMC2 145.A.55(d) Record-keeping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66</w:t>
            </w:r>
            <w:r w:rsidRPr="00892E1E">
              <w:rPr>
                <w:rFonts w:ascii="Times New Roman" w:hAnsi="Times New Roman"/>
                <w:webHidden/>
                <w:sz w:val="24"/>
                <w:szCs w:val="24"/>
              </w:rPr>
              <w:fldChar w:fldCharType="end"/>
            </w:r>
          </w:hyperlink>
        </w:p>
        <w:p w14:paraId="7994AFEE" w14:textId="0F7B5695" w:rsidR="005E6F31" w:rsidRPr="00892E1E" w:rsidRDefault="005E6F31">
          <w:pPr>
            <w:pStyle w:val="TOC2"/>
            <w:rPr>
              <w:rFonts w:ascii="Times New Roman" w:hAnsi="Times New Roman"/>
              <w:kern w:val="2"/>
              <w:sz w:val="24"/>
              <w:szCs w:val="24"/>
              <w14:ligatures w14:val="standardContextual"/>
            </w:rPr>
          </w:pPr>
          <w:hyperlink w:anchor="_Toc241066119" w:history="1">
            <w:r w:rsidRPr="00892E1E">
              <w:rPr>
                <w:rStyle w:val="Hyperlink"/>
                <w:rFonts w:ascii="Times New Roman" w:hAnsi="Times New Roman"/>
                <w:sz w:val="24"/>
                <w:szCs w:val="24"/>
              </w:rPr>
              <w:t>AMC1 145.A.60 Occurrence reporting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_Toc241066119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67</w:t>
            </w:r>
            <w:r w:rsidRPr="00892E1E">
              <w:rPr>
                <w:rFonts w:ascii="Times New Roman" w:hAnsi="Times New Roman"/>
                <w:webHidden/>
                <w:sz w:val="24"/>
                <w:szCs w:val="24"/>
              </w:rPr>
              <w:fldChar w:fldCharType="end"/>
            </w:r>
          </w:hyperlink>
        </w:p>
        <w:p w14:paraId="582E25AF" w14:textId="0861D253" w:rsidR="005E6F31" w:rsidRPr="00892E1E" w:rsidRDefault="005E6F31">
          <w:pPr>
            <w:pStyle w:val="TOC2"/>
            <w:rPr>
              <w:rFonts w:ascii="Times New Roman" w:hAnsi="Times New Roman"/>
              <w:kern w:val="2"/>
              <w:sz w:val="24"/>
              <w:szCs w:val="24"/>
              <w14:ligatures w14:val="standardContextual"/>
            </w:rPr>
          </w:pPr>
          <w:hyperlink w:anchor="_Toc241066120" w:history="1">
            <w:r w:rsidRPr="00892E1E">
              <w:rPr>
                <w:rStyle w:val="Hyperlink"/>
                <w:rFonts w:ascii="Times New Roman" w:hAnsi="Times New Roman"/>
                <w:sz w:val="24"/>
                <w:szCs w:val="24"/>
              </w:rPr>
              <w:t>AMC2 145.A.60 Occurrence reporting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67</w:t>
            </w:r>
            <w:r w:rsidRPr="00892E1E">
              <w:rPr>
                <w:rFonts w:ascii="Times New Roman" w:hAnsi="Times New Roman"/>
                <w:webHidden/>
                <w:sz w:val="24"/>
                <w:szCs w:val="24"/>
              </w:rPr>
              <w:fldChar w:fldCharType="end"/>
            </w:r>
          </w:hyperlink>
        </w:p>
        <w:p w14:paraId="7D689DE3" w14:textId="27A9FE2C" w:rsidR="005E6F31" w:rsidRPr="00892E1E" w:rsidRDefault="005E6F31">
          <w:pPr>
            <w:pStyle w:val="TOC2"/>
            <w:rPr>
              <w:rFonts w:ascii="Times New Roman" w:hAnsi="Times New Roman"/>
              <w:kern w:val="2"/>
              <w:sz w:val="24"/>
              <w:szCs w:val="24"/>
              <w14:ligatures w14:val="standardContextual"/>
            </w:rPr>
          </w:pPr>
          <w:hyperlink w:anchor="_Toc241066121" w:history="1">
            <w:r w:rsidRPr="00892E1E">
              <w:rPr>
                <w:rStyle w:val="Hyperlink"/>
                <w:rFonts w:ascii="Times New Roman" w:hAnsi="Times New Roman"/>
                <w:sz w:val="24"/>
                <w:szCs w:val="24"/>
              </w:rPr>
              <w:t>GM1 145.A.60 Occurrence reporting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67</w:t>
            </w:r>
            <w:r w:rsidRPr="00892E1E">
              <w:rPr>
                <w:rFonts w:ascii="Times New Roman" w:hAnsi="Times New Roman"/>
                <w:webHidden/>
                <w:sz w:val="24"/>
                <w:szCs w:val="24"/>
              </w:rPr>
              <w:fldChar w:fldCharType="end"/>
            </w:r>
          </w:hyperlink>
        </w:p>
        <w:p w14:paraId="317DFC36" w14:textId="79BC19EF" w:rsidR="005E6F31" w:rsidRPr="00892E1E" w:rsidRDefault="005E6F31">
          <w:pPr>
            <w:pStyle w:val="TOC2"/>
            <w:rPr>
              <w:rFonts w:ascii="Times New Roman" w:hAnsi="Times New Roman"/>
              <w:kern w:val="2"/>
              <w:sz w:val="24"/>
              <w:szCs w:val="24"/>
              <w14:ligatures w14:val="standardContextual"/>
            </w:rPr>
          </w:pPr>
          <w:hyperlink w:anchor="_Toc241066122" w:history="1">
            <w:r w:rsidRPr="00892E1E">
              <w:rPr>
                <w:rStyle w:val="Hyperlink"/>
                <w:rFonts w:ascii="Times New Roman" w:hAnsi="Times New Roman"/>
                <w:sz w:val="24"/>
                <w:szCs w:val="24"/>
              </w:rPr>
              <w:t>GM1 145.A.60(b) Occurrence reporting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67</w:t>
            </w:r>
            <w:r w:rsidRPr="00892E1E">
              <w:rPr>
                <w:rFonts w:ascii="Times New Roman" w:hAnsi="Times New Roman"/>
                <w:webHidden/>
                <w:sz w:val="24"/>
                <w:szCs w:val="24"/>
              </w:rPr>
              <w:fldChar w:fldCharType="end"/>
            </w:r>
          </w:hyperlink>
        </w:p>
        <w:p w14:paraId="49416913" w14:textId="55AF43CF" w:rsidR="005E6F31" w:rsidRPr="00892E1E" w:rsidRDefault="005E6F31">
          <w:pPr>
            <w:pStyle w:val="TOC2"/>
            <w:rPr>
              <w:rFonts w:ascii="Times New Roman" w:hAnsi="Times New Roman"/>
              <w:kern w:val="2"/>
              <w:sz w:val="24"/>
              <w:szCs w:val="24"/>
              <w14:ligatures w14:val="standardContextual"/>
            </w:rPr>
          </w:pPr>
          <w:hyperlink w:anchor="_Toc241066123" w:history="1">
            <w:r w:rsidRPr="00892E1E">
              <w:rPr>
                <w:rStyle w:val="Hyperlink"/>
                <w:rFonts w:ascii="Times New Roman" w:hAnsi="Times New Roman"/>
                <w:sz w:val="24"/>
                <w:szCs w:val="24"/>
              </w:rPr>
              <w:t>AMC1 145.A.65 Maintenance procedures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68</w:t>
            </w:r>
            <w:r w:rsidRPr="00892E1E">
              <w:rPr>
                <w:rFonts w:ascii="Times New Roman" w:hAnsi="Times New Roman"/>
                <w:webHidden/>
                <w:sz w:val="24"/>
                <w:szCs w:val="24"/>
              </w:rPr>
              <w:fldChar w:fldCharType="end"/>
            </w:r>
          </w:hyperlink>
        </w:p>
        <w:p w14:paraId="6D68E65A" w14:textId="25338EEB" w:rsidR="005E6F31" w:rsidRPr="00892E1E" w:rsidRDefault="005E6F31">
          <w:pPr>
            <w:pStyle w:val="TOC2"/>
            <w:rPr>
              <w:rFonts w:ascii="Times New Roman" w:hAnsi="Times New Roman"/>
              <w:kern w:val="2"/>
              <w:sz w:val="24"/>
              <w:szCs w:val="24"/>
              <w14:ligatures w14:val="standardContextual"/>
            </w:rPr>
          </w:pPr>
          <w:hyperlink w:anchor="_Toc241066124" w:history="1">
            <w:r w:rsidRPr="00892E1E">
              <w:rPr>
                <w:rStyle w:val="Hyperlink"/>
                <w:rFonts w:ascii="Times New Roman" w:hAnsi="Times New Roman"/>
                <w:sz w:val="24"/>
                <w:szCs w:val="24"/>
              </w:rPr>
              <w:t>GM1 145.A.65 Maintenance procedures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68</w:t>
            </w:r>
            <w:r w:rsidRPr="00892E1E">
              <w:rPr>
                <w:rFonts w:ascii="Times New Roman" w:hAnsi="Times New Roman"/>
                <w:webHidden/>
                <w:sz w:val="24"/>
                <w:szCs w:val="24"/>
              </w:rPr>
              <w:fldChar w:fldCharType="end"/>
            </w:r>
          </w:hyperlink>
        </w:p>
        <w:p w14:paraId="6C59EC79" w14:textId="53760A67" w:rsidR="005E6F31" w:rsidRPr="00892E1E" w:rsidRDefault="005E6F31">
          <w:pPr>
            <w:pStyle w:val="TOC2"/>
            <w:rPr>
              <w:rFonts w:ascii="Times New Roman" w:hAnsi="Times New Roman"/>
              <w:kern w:val="2"/>
              <w:sz w:val="24"/>
              <w:szCs w:val="24"/>
              <w14:ligatures w14:val="standardContextual"/>
            </w:rPr>
          </w:pPr>
          <w:hyperlink w:anchor="_Toc241066125" w:history="1">
            <w:r w:rsidRPr="00892E1E">
              <w:rPr>
                <w:rStyle w:val="Hyperlink"/>
                <w:rFonts w:ascii="Times New Roman" w:hAnsi="Times New Roman"/>
                <w:sz w:val="24"/>
                <w:szCs w:val="24"/>
              </w:rPr>
              <w:t>GM2 145.A.65(b)(1) Maintenance procedures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68</w:t>
            </w:r>
            <w:r w:rsidRPr="00892E1E">
              <w:rPr>
                <w:rFonts w:ascii="Times New Roman" w:hAnsi="Times New Roman"/>
                <w:webHidden/>
                <w:sz w:val="24"/>
                <w:szCs w:val="24"/>
              </w:rPr>
              <w:fldChar w:fldCharType="end"/>
            </w:r>
          </w:hyperlink>
        </w:p>
        <w:p w14:paraId="50D1DFCF" w14:textId="4C511CFB" w:rsidR="005E6F31" w:rsidRPr="00892E1E" w:rsidRDefault="005E6F31">
          <w:pPr>
            <w:pStyle w:val="TOC2"/>
            <w:rPr>
              <w:rFonts w:ascii="Times New Roman" w:hAnsi="Times New Roman"/>
              <w:kern w:val="2"/>
              <w:sz w:val="24"/>
              <w:szCs w:val="24"/>
              <w14:ligatures w14:val="standardContextual"/>
            </w:rPr>
          </w:pPr>
          <w:hyperlink w:anchor="_Toc241066126" w:history="1">
            <w:r w:rsidRPr="00892E1E">
              <w:rPr>
                <w:rStyle w:val="Hyperlink"/>
                <w:rFonts w:ascii="Times New Roman" w:hAnsi="Times New Roman"/>
                <w:sz w:val="24"/>
                <w:szCs w:val="24"/>
              </w:rPr>
              <w:t>AMC1 145.A.65(b)(2) Maintenance procedures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68</w:t>
            </w:r>
            <w:r w:rsidRPr="00892E1E">
              <w:rPr>
                <w:rFonts w:ascii="Times New Roman" w:hAnsi="Times New Roman"/>
                <w:webHidden/>
                <w:sz w:val="24"/>
                <w:szCs w:val="24"/>
              </w:rPr>
              <w:fldChar w:fldCharType="end"/>
            </w:r>
          </w:hyperlink>
        </w:p>
        <w:p w14:paraId="1E83D9CC" w14:textId="2D5098DE" w:rsidR="005E6F31" w:rsidRPr="00892E1E" w:rsidRDefault="005E6F31">
          <w:pPr>
            <w:pStyle w:val="TOC2"/>
            <w:rPr>
              <w:rFonts w:ascii="Times New Roman" w:hAnsi="Times New Roman"/>
              <w:kern w:val="2"/>
              <w:sz w:val="24"/>
              <w:szCs w:val="24"/>
              <w14:ligatures w14:val="standardContextual"/>
            </w:rPr>
          </w:pPr>
          <w:hyperlink w:anchor="_Toc241066127" w:history="1">
            <w:r w:rsidRPr="00892E1E">
              <w:rPr>
                <w:rStyle w:val="Hyperlink"/>
                <w:rFonts w:ascii="Times New Roman" w:hAnsi="Times New Roman"/>
                <w:sz w:val="24"/>
                <w:szCs w:val="24"/>
              </w:rPr>
              <w:t>AMC1 145.A.70 Maintenance organisation exposition (MOE)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69</w:t>
            </w:r>
            <w:r w:rsidRPr="00892E1E">
              <w:rPr>
                <w:rFonts w:ascii="Times New Roman" w:hAnsi="Times New Roman"/>
                <w:webHidden/>
                <w:sz w:val="24"/>
                <w:szCs w:val="24"/>
              </w:rPr>
              <w:fldChar w:fldCharType="end"/>
            </w:r>
          </w:hyperlink>
        </w:p>
        <w:p w14:paraId="43473988" w14:textId="4E415D30" w:rsidR="005E6F31" w:rsidRPr="00892E1E" w:rsidRDefault="005E6F31">
          <w:pPr>
            <w:pStyle w:val="TOC2"/>
            <w:rPr>
              <w:rFonts w:ascii="Times New Roman" w:hAnsi="Times New Roman"/>
              <w:kern w:val="2"/>
              <w:sz w:val="24"/>
              <w:szCs w:val="24"/>
              <w14:ligatures w14:val="standardContextual"/>
            </w:rPr>
          </w:pPr>
          <w:hyperlink w:anchor="_Toc241066128" w:history="1">
            <w:r w:rsidRPr="00892E1E">
              <w:rPr>
                <w:rStyle w:val="Hyperlink"/>
                <w:rFonts w:ascii="Times New Roman" w:hAnsi="Times New Roman"/>
                <w:sz w:val="24"/>
                <w:szCs w:val="24"/>
              </w:rPr>
              <w:t>GM1 145.A.70 Maintenance organisation exposition (MOE)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69</w:t>
            </w:r>
            <w:r w:rsidRPr="00892E1E">
              <w:rPr>
                <w:rFonts w:ascii="Times New Roman" w:hAnsi="Times New Roman"/>
                <w:webHidden/>
                <w:sz w:val="24"/>
                <w:szCs w:val="24"/>
              </w:rPr>
              <w:fldChar w:fldCharType="end"/>
            </w:r>
          </w:hyperlink>
        </w:p>
        <w:p w14:paraId="1E76E8C1" w14:textId="0124B7A9" w:rsidR="005E6F31" w:rsidRPr="00892E1E" w:rsidRDefault="005E6F31">
          <w:pPr>
            <w:pStyle w:val="TOC2"/>
            <w:rPr>
              <w:rFonts w:ascii="Times New Roman" w:hAnsi="Times New Roman"/>
              <w:kern w:val="2"/>
              <w:sz w:val="24"/>
              <w:szCs w:val="24"/>
              <w14:ligatures w14:val="standardContextual"/>
            </w:rPr>
          </w:pPr>
          <w:hyperlink w:anchor="_Toc241066129" w:history="1">
            <w:r w:rsidRPr="00892E1E">
              <w:rPr>
                <w:rStyle w:val="Hyperlink"/>
                <w:rFonts w:ascii="Times New Roman" w:hAnsi="Times New Roman"/>
                <w:sz w:val="24"/>
                <w:szCs w:val="24"/>
              </w:rPr>
              <w:t>AMC1 145.A.70(a) Maintenance organisation exposition (MOE)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_Toc241066129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69</w:t>
            </w:r>
            <w:r w:rsidRPr="00892E1E">
              <w:rPr>
                <w:rFonts w:ascii="Times New Roman" w:hAnsi="Times New Roman"/>
                <w:webHidden/>
                <w:sz w:val="24"/>
                <w:szCs w:val="24"/>
              </w:rPr>
              <w:fldChar w:fldCharType="end"/>
            </w:r>
          </w:hyperlink>
        </w:p>
        <w:p w14:paraId="52CBFF7E" w14:textId="23DA3BD4" w:rsidR="005E6F31" w:rsidRPr="00892E1E" w:rsidRDefault="005E6F31">
          <w:pPr>
            <w:pStyle w:val="TOC2"/>
            <w:rPr>
              <w:rFonts w:ascii="Times New Roman" w:hAnsi="Times New Roman"/>
              <w:kern w:val="2"/>
              <w:sz w:val="24"/>
              <w:szCs w:val="24"/>
              <w14:ligatures w14:val="standardContextual"/>
            </w:rPr>
          </w:pPr>
          <w:hyperlink w:anchor="_Toc241066130" w:history="1">
            <w:r w:rsidRPr="00892E1E">
              <w:rPr>
                <w:rStyle w:val="Hyperlink"/>
                <w:rFonts w:ascii="Times New Roman" w:hAnsi="Times New Roman"/>
                <w:sz w:val="24"/>
                <w:szCs w:val="24"/>
              </w:rPr>
              <w:t>AMC1 145.A.70(a)(1) Maintenance organisation exposition (MOE)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72</w:t>
            </w:r>
            <w:r w:rsidRPr="00892E1E">
              <w:rPr>
                <w:rFonts w:ascii="Times New Roman" w:hAnsi="Times New Roman"/>
                <w:webHidden/>
                <w:sz w:val="24"/>
                <w:szCs w:val="24"/>
              </w:rPr>
              <w:fldChar w:fldCharType="end"/>
            </w:r>
          </w:hyperlink>
        </w:p>
        <w:p w14:paraId="77155445" w14:textId="60B8F382" w:rsidR="005E6F31" w:rsidRPr="00892E1E" w:rsidRDefault="005E6F31">
          <w:pPr>
            <w:pStyle w:val="TOC2"/>
            <w:rPr>
              <w:rFonts w:ascii="Times New Roman" w:hAnsi="Times New Roman"/>
              <w:kern w:val="2"/>
              <w:sz w:val="24"/>
              <w:szCs w:val="24"/>
              <w14:ligatures w14:val="standardContextual"/>
            </w:rPr>
          </w:pPr>
          <w:hyperlink w:anchor="_Toc241066131" w:history="1">
            <w:r w:rsidRPr="00892E1E">
              <w:rPr>
                <w:rStyle w:val="Hyperlink"/>
                <w:rFonts w:ascii="Times New Roman" w:hAnsi="Times New Roman"/>
                <w:sz w:val="24"/>
                <w:szCs w:val="24"/>
              </w:rPr>
              <w:t>AMC1 145.A.75(b) Privileges of the organisation</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73</w:t>
            </w:r>
            <w:r w:rsidRPr="00892E1E">
              <w:rPr>
                <w:rFonts w:ascii="Times New Roman" w:hAnsi="Times New Roman"/>
                <w:webHidden/>
                <w:sz w:val="24"/>
                <w:szCs w:val="24"/>
              </w:rPr>
              <w:fldChar w:fldCharType="end"/>
            </w:r>
          </w:hyperlink>
        </w:p>
        <w:p w14:paraId="084ED08F" w14:textId="0DE73462" w:rsidR="005E6F31" w:rsidRPr="00892E1E" w:rsidRDefault="005E6F31">
          <w:pPr>
            <w:pStyle w:val="TOC2"/>
            <w:rPr>
              <w:rFonts w:ascii="Times New Roman" w:hAnsi="Times New Roman"/>
              <w:kern w:val="2"/>
              <w:sz w:val="24"/>
              <w:szCs w:val="24"/>
              <w14:ligatures w14:val="standardContextual"/>
            </w:rPr>
          </w:pPr>
          <w:hyperlink w:anchor="_Toc241066132" w:history="1">
            <w:r w:rsidRPr="00892E1E">
              <w:rPr>
                <w:rStyle w:val="Hyperlink"/>
                <w:rFonts w:ascii="Times New Roman" w:hAnsi="Times New Roman"/>
                <w:sz w:val="24"/>
                <w:szCs w:val="24"/>
              </w:rPr>
              <w:t>AMC1 145.A.85 Changes to the organisation</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75</w:t>
            </w:r>
            <w:r w:rsidRPr="00892E1E">
              <w:rPr>
                <w:rFonts w:ascii="Times New Roman" w:hAnsi="Times New Roman"/>
                <w:webHidden/>
                <w:sz w:val="24"/>
                <w:szCs w:val="24"/>
              </w:rPr>
              <w:fldChar w:fldCharType="end"/>
            </w:r>
          </w:hyperlink>
        </w:p>
        <w:p w14:paraId="52A3AA3B" w14:textId="6D869197" w:rsidR="005E6F31" w:rsidRPr="00892E1E" w:rsidRDefault="005E6F31">
          <w:pPr>
            <w:pStyle w:val="TOC2"/>
            <w:rPr>
              <w:rFonts w:ascii="Times New Roman" w:hAnsi="Times New Roman"/>
              <w:kern w:val="2"/>
              <w:sz w:val="24"/>
              <w:szCs w:val="24"/>
              <w14:ligatures w14:val="standardContextual"/>
            </w:rPr>
          </w:pPr>
          <w:hyperlink w:anchor="_Toc241066133" w:history="1">
            <w:r w:rsidRPr="00892E1E">
              <w:rPr>
                <w:rStyle w:val="Hyperlink"/>
                <w:rFonts w:ascii="Times New Roman" w:hAnsi="Times New Roman"/>
                <w:sz w:val="24"/>
                <w:szCs w:val="24"/>
              </w:rPr>
              <w:t>AMC2 145.A.85 Changes to the organisation</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75</w:t>
            </w:r>
            <w:r w:rsidRPr="00892E1E">
              <w:rPr>
                <w:rFonts w:ascii="Times New Roman" w:hAnsi="Times New Roman"/>
                <w:webHidden/>
                <w:sz w:val="24"/>
                <w:szCs w:val="24"/>
              </w:rPr>
              <w:fldChar w:fldCharType="end"/>
            </w:r>
          </w:hyperlink>
        </w:p>
        <w:p w14:paraId="6BC680AF" w14:textId="44260F07" w:rsidR="005E6F31" w:rsidRPr="00892E1E" w:rsidRDefault="005E6F31">
          <w:pPr>
            <w:pStyle w:val="TOC2"/>
            <w:rPr>
              <w:rFonts w:ascii="Times New Roman" w:hAnsi="Times New Roman"/>
              <w:kern w:val="2"/>
              <w:sz w:val="24"/>
              <w:szCs w:val="24"/>
              <w14:ligatures w14:val="standardContextual"/>
            </w:rPr>
          </w:pPr>
          <w:hyperlink w:anchor="_Toc241066134" w:history="1">
            <w:r w:rsidRPr="00892E1E">
              <w:rPr>
                <w:rStyle w:val="Hyperlink"/>
                <w:rFonts w:ascii="Times New Roman" w:hAnsi="Times New Roman"/>
                <w:sz w:val="24"/>
                <w:szCs w:val="24"/>
              </w:rPr>
              <w:t>GM1 145.A.85 Changes to the organisation</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75</w:t>
            </w:r>
            <w:r w:rsidRPr="00892E1E">
              <w:rPr>
                <w:rFonts w:ascii="Times New Roman" w:hAnsi="Times New Roman"/>
                <w:webHidden/>
                <w:sz w:val="24"/>
                <w:szCs w:val="24"/>
              </w:rPr>
              <w:fldChar w:fldCharType="end"/>
            </w:r>
          </w:hyperlink>
        </w:p>
        <w:p w14:paraId="39439EF4" w14:textId="4CB96555" w:rsidR="005E6F31" w:rsidRPr="00892E1E" w:rsidRDefault="005E6F31">
          <w:pPr>
            <w:pStyle w:val="TOC2"/>
            <w:rPr>
              <w:rFonts w:ascii="Times New Roman" w:hAnsi="Times New Roman"/>
              <w:kern w:val="2"/>
              <w:sz w:val="24"/>
              <w:szCs w:val="24"/>
              <w14:ligatures w14:val="standardContextual"/>
            </w:rPr>
          </w:pPr>
          <w:hyperlink w:anchor="_Toc241066135" w:history="1">
            <w:r w:rsidRPr="00892E1E">
              <w:rPr>
                <w:rStyle w:val="Hyperlink"/>
                <w:rFonts w:ascii="Times New Roman" w:hAnsi="Times New Roman"/>
                <w:sz w:val="24"/>
                <w:szCs w:val="24"/>
              </w:rPr>
              <w:t>GM1 145.A.85(a)(1) Changes to the organisation</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75</w:t>
            </w:r>
            <w:r w:rsidRPr="00892E1E">
              <w:rPr>
                <w:rFonts w:ascii="Times New Roman" w:hAnsi="Times New Roman"/>
                <w:webHidden/>
                <w:sz w:val="24"/>
                <w:szCs w:val="24"/>
              </w:rPr>
              <w:fldChar w:fldCharType="end"/>
            </w:r>
          </w:hyperlink>
        </w:p>
        <w:p w14:paraId="7235C756" w14:textId="375DAC15" w:rsidR="005E6F31" w:rsidRPr="00892E1E" w:rsidRDefault="005E6F31">
          <w:pPr>
            <w:pStyle w:val="TOC2"/>
            <w:rPr>
              <w:rFonts w:ascii="Times New Roman" w:hAnsi="Times New Roman"/>
              <w:kern w:val="2"/>
              <w:sz w:val="24"/>
              <w:szCs w:val="24"/>
              <w14:ligatures w14:val="standardContextual"/>
            </w:rPr>
          </w:pPr>
          <w:hyperlink w:anchor="_Toc241066136" w:history="1">
            <w:r w:rsidRPr="00892E1E">
              <w:rPr>
                <w:rStyle w:val="Hyperlink"/>
                <w:rFonts w:ascii="Times New Roman" w:hAnsi="Times New Roman"/>
                <w:sz w:val="24"/>
                <w:szCs w:val="24"/>
              </w:rPr>
              <w:t>GM1 145.A.85(a)(2) Changes to the organisation</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76</w:t>
            </w:r>
            <w:r w:rsidRPr="00892E1E">
              <w:rPr>
                <w:rFonts w:ascii="Times New Roman" w:hAnsi="Times New Roman"/>
                <w:webHidden/>
                <w:sz w:val="24"/>
                <w:szCs w:val="24"/>
              </w:rPr>
              <w:fldChar w:fldCharType="end"/>
            </w:r>
          </w:hyperlink>
        </w:p>
        <w:p w14:paraId="142D2023" w14:textId="40B8A5A6" w:rsidR="005E6F31" w:rsidRPr="00892E1E" w:rsidRDefault="005E6F31">
          <w:pPr>
            <w:pStyle w:val="TOC2"/>
            <w:rPr>
              <w:rFonts w:ascii="Times New Roman" w:hAnsi="Times New Roman"/>
              <w:kern w:val="2"/>
              <w:sz w:val="24"/>
              <w:szCs w:val="24"/>
              <w14:ligatures w14:val="standardContextual"/>
            </w:rPr>
          </w:pPr>
          <w:hyperlink w:anchor="_Toc241066137" w:history="1">
            <w:r w:rsidRPr="00892E1E">
              <w:rPr>
                <w:rStyle w:val="Hyperlink"/>
                <w:rFonts w:ascii="Times New Roman" w:hAnsi="Times New Roman"/>
                <w:sz w:val="24"/>
                <w:szCs w:val="24"/>
              </w:rPr>
              <w:t>GM1 145.A.85(b) Changes to the organisation</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76</w:t>
            </w:r>
            <w:r w:rsidRPr="00892E1E">
              <w:rPr>
                <w:rFonts w:ascii="Times New Roman" w:hAnsi="Times New Roman"/>
                <w:webHidden/>
                <w:sz w:val="24"/>
                <w:szCs w:val="24"/>
              </w:rPr>
              <w:fldChar w:fldCharType="end"/>
            </w:r>
          </w:hyperlink>
        </w:p>
        <w:p w14:paraId="223695CA" w14:textId="5144240F" w:rsidR="005E6F31" w:rsidRPr="00892E1E" w:rsidRDefault="005E6F31">
          <w:pPr>
            <w:pStyle w:val="TOC2"/>
            <w:rPr>
              <w:rFonts w:ascii="Times New Roman" w:hAnsi="Times New Roman"/>
              <w:kern w:val="2"/>
              <w:sz w:val="24"/>
              <w:szCs w:val="24"/>
              <w14:ligatures w14:val="standardContextual"/>
            </w:rPr>
          </w:pPr>
          <w:hyperlink w:anchor="_Toc241066138" w:history="1">
            <w:r w:rsidRPr="00892E1E">
              <w:rPr>
                <w:rStyle w:val="Hyperlink"/>
                <w:rFonts w:ascii="Times New Roman" w:hAnsi="Times New Roman"/>
                <w:sz w:val="24"/>
                <w:szCs w:val="24"/>
              </w:rPr>
              <w:t>AMC1 145.A.95 Findings and observations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76</w:t>
            </w:r>
            <w:r w:rsidRPr="00892E1E">
              <w:rPr>
                <w:rFonts w:ascii="Times New Roman" w:hAnsi="Times New Roman"/>
                <w:webHidden/>
                <w:sz w:val="24"/>
                <w:szCs w:val="24"/>
              </w:rPr>
              <w:fldChar w:fldCharType="end"/>
            </w:r>
          </w:hyperlink>
        </w:p>
        <w:p w14:paraId="231D2D44" w14:textId="2669C10A" w:rsidR="005E6F31" w:rsidRPr="00892E1E" w:rsidRDefault="005E6F31">
          <w:pPr>
            <w:pStyle w:val="TOC2"/>
            <w:rPr>
              <w:rFonts w:ascii="Times New Roman" w:hAnsi="Times New Roman"/>
              <w:kern w:val="2"/>
              <w:sz w:val="24"/>
              <w:szCs w:val="24"/>
              <w14:ligatures w14:val="standardContextual"/>
            </w:rPr>
          </w:pPr>
          <w:hyperlink w:anchor="_Toc241066139" w:history="1">
            <w:r w:rsidRPr="00892E1E">
              <w:rPr>
                <w:rStyle w:val="Hyperlink"/>
                <w:rFonts w:ascii="Times New Roman" w:hAnsi="Times New Roman"/>
                <w:sz w:val="24"/>
                <w:szCs w:val="24"/>
              </w:rPr>
              <w:t>AMC2 145.A.95 Findings and observations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_Toc241066139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77</w:t>
            </w:r>
            <w:r w:rsidRPr="00892E1E">
              <w:rPr>
                <w:rFonts w:ascii="Times New Roman" w:hAnsi="Times New Roman"/>
                <w:webHidden/>
                <w:sz w:val="24"/>
                <w:szCs w:val="24"/>
              </w:rPr>
              <w:fldChar w:fldCharType="end"/>
            </w:r>
          </w:hyperlink>
        </w:p>
        <w:p w14:paraId="315E5D19" w14:textId="49872EDB" w:rsidR="005E6F31" w:rsidRPr="00892E1E" w:rsidRDefault="005E6F31">
          <w:pPr>
            <w:pStyle w:val="TOC2"/>
            <w:rPr>
              <w:rFonts w:ascii="Times New Roman" w:hAnsi="Times New Roman"/>
              <w:kern w:val="2"/>
              <w:sz w:val="24"/>
              <w:szCs w:val="24"/>
              <w14:ligatures w14:val="standardContextual"/>
            </w:rPr>
          </w:pPr>
          <w:hyperlink w:anchor="_Toc241066140" w:history="1">
            <w:r w:rsidRPr="00892E1E">
              <w:rPr>
                <w:rStyle w:val="Hyperlink"/>
                <w:rFonts w:ascii="Times New Roman" w:hAnsi="Times New Roman"/>
                <w:sz w:val="24"/>
                <w:szCs w:val="24"/>
              </w:rPr>
              <w:t>GM1 145.A.95 Findings and observations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77</w:t>
            </w:r>
            <w:r w:rsidRPr="00892E1E">
              <w:rPr>
                <w:rFonts w:ascii="Times New Roman" w:hAnsi="Times New Roman"/>
                <w:webHidden/>
                <w:sz w:val="24"/>
                <w:szCs w:val="24"/>
              </w:rPr>
              <w:fldChar w:fldCharType="end"/>
            </w:r>
          </w:hyperlink>
        </w:p>
        <w:p w14:paraId="0C26684B" w14:textId="1DB54624" w:rsidR="005E6F31" w:rsidRPr="00892E1E" w:rsidRDefault="005E6F31">
          <w:pPr>
            <w:pStyle w:val="TOC2"/>
            <w:rPr>
              <w:rFonts w:ascii="Times New Roman" w:hAnsi="Times New Roman"/>
              <w:kern w:val="2"/>
              <w:sz w:val="24"/>
              <w:szCs w:val="24"/>
              <w14:ligatures w14:val="standardContextual"/>
            </w:rPr>
          </w:pPr>
          <w:hyperlink w:anchor="_Toc241066141" w:history="1">
            <w:r w:rsidRPr="00892E1E">
              <w:rPr>
                <w:rStyle w:val="Hyperlink"/>
                <w:rFonts w:ascii="Times New Roman" w:hAnsi="Times New Roman"/>
                <w:sz w:val="24"/>
                <w:szCs w:val="24"/>
              </w:rPr>
              <w:t>GM1 145.A.120 Means of compliance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77</w:t>
            </w:r>
            <w:r w:rsidRPr="00892E1E">
              <w:rPr>
                <w:rFonts w:ascii="Times New Roman" w:hAnsi="Times New Roman"/>
                <w:webHidden/>
                <w:sz w:val="24"/>
                <w:szCs w:val="24"/>
              </w:rPr>
              <w:fldChar w:fldCharType="end"/>
            </w:r>
          </w:hyperlink>
        </w:p>
        <w:p w14:paraId="387BC16A" w14:textId="04746E2C" w:rsidR="005E6F31" w:rsidRPr="00892E1E" w:rsidRDefault="005E6F31">
          <w:pPr>
            <w:pStyle w:val="TOC2"/>
            <w:rPr>
              <w:rFonts w:ascii="Times New Roman" w:hAnsi="Times New Roman"/>
              <w:kern w:val="2"/>
              <w:sz w:val="24"/>
              <w:szCs w:val="24"/>
              <w14:ligatures w14:val="standardContextual"/>
            </w:rPr>
          </w:pPr>
          <w:hyperlink w:anchor="_Toc241066142" w:history="1">
            <w:r w:rsidRPr="00892E1E">
              <w:rPr>
                <w:rStyle w:val="Hyperlink"/>
                <w:rFonts w:ascii="Times New Roman" w:hAnsi="Times New Roman"/>
                <w:sz w:val="24"/>
                <w:szCs w:val="24"/>
              </w:rPr>
              <w:t>GM2 145.A.120 Means of Compliance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78</w:t>
            </w:r>
            <w:r w:rsidRPr="00892E1E">
              <w:rPr>
                <w:rFonts w:ascii="Times New Roman" w:hAnsi="Times New Roman"/>
                <w:webHidden/>
                <w:sz w:val="24"/>
                <w:szCs w:val="24"/>
              </w:rPr>
              <w:fldChar w:fldCharType="end"/>
            </w:r>
          </w:hyperlink>
        </w:p>
        <w:p w14:paraId="7EB7D3E0" w14:textId="55BD93B6" w:rsidR="005E6F31" w:rsidRPr="00892E1E" w:rsidRDefault="005E6F31">
          <w:pPr>
            <w:pStyle w:val="TOC2"/>
            <w:rPr>
              <w:rFonts w:ascii="Times New Roman" w:hAnsi="Times New Roman"/>
              <w:kern w:val="2"/>
              <w:sz w:val="24"/>
              <w:szCs w:val="24"/>
              <w14:ligatures w14:val="standardContextual"/>
            </w:rPr>
          </w:pPr>
          <w:hyperlink w:anchor="_Toc241066143" w:history="1">
            <w:r w:rsidRPr="00892E1E">
              <w:rPr>
                <w:rStyle w:val="Hyperlink"/>
                <w:rFonts w:ascii="Times New Roman" w:hAnsi="Times New Roman"/>
                <w:sz w:val="24"/>
                <w:szCs w:val="24"/>
              </w:rPr>
              <w:t>AMC1 145.A.120(b) Means of compliance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78</w:t>
            </w:r>
            <w:r w:rsidRPr="00892E1E">
              <w:rPr>
                <w:rFonts w:ascii="Times New Roman" w:hAnsi="Times New Roman"/>
                <w:webHidden/>
                <w:sz w:val="24"/>
                <w:szCs w:val="24"/>
              </w:rPr>
              <w:fldChar w:fldCharType="end"/>
            </w:r>
          </w:hyperlink>
        </w:p>
        <w:p w14:paraId="6D482671" w14:textId="60BB9951" w:rsidR="005E6F31" w:rsidRPr="00892E1E" w:rsidRDefault="005E6F31">
          <w:pPr>
            <w:pStyle w:val="TOC2"/>
            <w:rPr>
              <w:rFonts w:ascii="Times New Roman" w:hAnsi="Times New Roman"/>
              <w:kern w:val="2"/>
              <w:sz w:val="24"/>
              <w:szCs w:val="24"/>
              <w14:ligatures w14:val="standardContextual"/>
            </w:rPr>
          </w:pPr>
          <w:hyperlink w:anchor="_Toc241066144" w:history="1">
            <w:r w:rsidRPr="00892E1E">
              <w:rPr>
                <w:rStyle w:val="Hyperlink"/>
                <w:rFonts w:ascii="Times New Roman" w:hAnsi="Times New Roman"/>
                <w:sz w:val="24"/>
                <w:szCs w:val="24"/>
              </w:rPr>
              <w:t>GM1 145.A.200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78</w:t>
            </w:r>
            <w:r w:rsidRPr="00892E1E">
              <w:rPr>
                <w:rFonts w:ascii="Times New Roman" w:hAnsi="Times New Roman"/>
                <w:webHidden/>
                <w:sz w:val="24"/>
                <w:szCs w:val="24"/>
              </w:rPr>
              <w:fldChar w:fldCharType="end"/>
            </w:r>
          </w:hyperlink>
        </w:p>
        <w:p w14:paraId="03F7B6D0" w14:textId="45631092" w:rsidR="005E6F31" w:rsidRPr="00892E1E" w:rsidRDefault="005E6F31">
          <w:pPr>
            <w:pStyle w:val="TOC2"/>
            <w:rPr>
              <w:rFonts w:ascii="Times New Roman" w:hAnsi="Times New Roman"/>
              <w:kern w:val="2"/>
              <w:sz w:val="24"/>
              <w:szCs w:val="24"/>
              <w14:ligatures w14:val="standardContextual"/>
            </w:rPr>
          </w:pPr>
          <w:hyperlink w:anchor="_Toc241066145" w:history="1">
            <w:r w:rsidRPr="00892E1E">
              <w:rPr>
                <w:rStyle w:val="Hyperlink"/>
                <w:rFonts w:ascii="Times New Roman" w:hAnsi="Times New Roman"/>
                <w:sz w:val="24"/>
                <w:szCs w:val="24"/>
              </w:rPr>
              <w:t>AMC1 145.A.200(a)(1)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81</w:t>
            </w:r>
            <w:r w:rsidRPr="00892E1E">
              <w:rPr>
                <w:rFonts w:ascii="Times New Roman" w:hAnsi="Times New Roman"/>
                <w:webHidden/>
                <w:sz w:val="24"/>
                <w:szCs w:val="24"/>
              </w:rPr>
              <w:fldChar w:fldCharType="end"/>
            </w:r>
          </w:hyperlink>
        </w:p>
        <w:p w14:paraId="512D037B" w14:textId="2B619286" w:rsidR="005E6F31" w:rsidRPr="00892E1E" w:rsidRDefault="005E6F31">
          <w:pPr>
            <w:pStyle w:val="TOC2"/>
            <w:rPr>
              <w:rFonts w:ascii="Times New Roman" w:hAnsi="Times New Roman"/>
              <w:kern w:val="2"/>
              <w:sz w:val="24"/>
              <w:szCs w:val="24"/>
              <w14:ligatures w14:val="standardContextual"/>
            </w:rPr>
          </w:pPr>
          <w:hyperlink w:anchor="_Toc241066146" w:history="1">
            <w:r w:rsidRPr="00892E1E">
              <w:rPr>
                <w:rStyle w:val="Hyperlink"/>
                <w:rFonts w:ascii="Times New Roman" w:hAnsi="Times New Roman"/>
                <w:sz w:val="24"/>
                <w:szCs w:val="24"/>
              </w:rPr>
              <w:t>GM1 145.A.200(a)(1)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81</w:t>
            </w:r>
            <w:r w:rsidRPr="00892E1E">
              <w:rPr>
                <w:rFonts w:ascii="Times New Roman" w:hAnsi="Times New Roman"/>
                <w:webHidden/>
                <w:sz w:val="24"/>
                <w:szCs w:val="24"/>
              </w:rPr>
              <w:fldChar w:fldCharType="end"/>
            </w:r>
          </w:hyperlink>
        </w:p>
        <w:p w14:paraId="46EB6F2F" w14:textId="5F387ED7" w:rsidR="005E6F31" w:rsidRPr="00892E1E" w:rsidRDefault="005E6F31">
          <w:pPr>
            <w:pStyle w:val="TOC2"/>
            <w:rPr>
              <w:rFonts w:ascii="Times New Roman" w:hAnsi="Times New Roman"/>
              <w:kern w:val="2"/>
              <w:sz w:val="24"/>
              <w:szCs w:val="24"/>
              <w14:ligatures w14:val="standardContextual"/>
            </w:rPr>
          </w:pPr>
          <w:hyperlink w:anchor="_Toc241066147" w:history="1">
            <w:r w:rsidRPr="00892E1E">
              <w:rPr>
                <w:rStyle w:val="Hyperlink"/>
                <w:rFonts w:ascii="Times New Roman" w:hAnsi="Times New Roman"/>
                <w:sz w:val="24"/>
                <w:szCs w:val="24"/>
              </w:rPr>
              <w:t>GM2 145.A.200(a)(1)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82</w:t>
            </w:r>
            <w:r w:rsidRPr="00892E1E">
              <w:rPr>
                <w:rFonts w:ascii="Times New Roman" w:hAnsi="Times New Roman"/>
                <w:webHidden/>
                <w:sz w:val="24"/>
                <w:szCs w:val="24"/>
              </w:rPr>
              <w:fldChar w:fldCharType="end"/>
            </w:r>
          </w:hyperlink>
        </w:p>
        <w:p w14:paraId="51152E52" w14:textId="29626374" w:rsidR="005E6F31" w:rsidRPr="00892E1E" w:rsidRDefault="005E6F31">
          <w:pPr>
            <w:pStyle w:val="TOC2"/>
            <w:rPr>
              <w:rFonts w:ascii="Times New Roman" w:hAnsi="Times New Roman"/>
              <w:kern w:val="2"/>
              <w:sz w:val="24"/>
              <w:szCs w:val="24"/>
              <w14:ligatures w14:val="standardContextual"/>
            </w:rPr>
          </w:pPr>
          <w:hyperlink w:anchor="_Toc241066148" w:history="1">
            <w:r w:rsidRPr="00892E1E">
              <w:rPr>
                <w:rStyle w:val="Hyperlink"/>
                <w:rFonts w:ascii="Times New Roman" w:hAnsi="Times New Roman"/>
                <w:sz w:val="24"/>
                <w:szCs w:val="24"/>
              </w:rPr>
              <w:t>AMC1 145.A.200(a)(2)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82</w:t>
            </w:r>
            <w:r w:rsidRPr="00892E1E">
              <w:rPr>
                <w:rFonts w:ascii="Times New Roman" w:hAnsi="Times New Roman"/>
                <w:webHidden/>
                <w:sz w:val="24"/>
                <w:szCs w:val="24"/>
              </w:rPr>
              <w:fldChar w:fldCharType="end"/>
            </w:r>
          </w:hyperlink>
        </w:p>
        <w:p w14:paraId="349EEE3C" w14:textId="6D63DA17" w:rsidR="005E6F31" w:rsidRPr="00892E1E" w:rsidRDefault="005E6F31">
          <w:pPr>
            <w:pStyle w:val="TOC2"/>
            <w:rPr>
              <w:rFonts w:ascii="Times New Roman" w:hAnsi="Times New Roman"/>
              <w:kern w:val="2"/>
              <w:sz w:val="24"/>
              <w:szCs w:val="24"/>
              <w14:ligatures w14:val="standardContextual"/>
            </w:rPr>
          </w:pPr>
          <w:hyperlink w:anchor="_Toc241066149" w:history="1">
            <w:r w:rsidRPr="00892E1E">
              <w:rPr>
                <w:rStyle w:val="Hyperlink"/>
                <w:rFonts w:ascii="Times New Roman" w:hAnsi="Times New Roman"/>
                <w:sz w:val="24"/>
                <w:szCs w:val="24"/>
              </w:rPr>
              <w:t>GM1 145.A.200(a)(2)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_Toc241066149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83</w:t>
            </w:r>
            <w:r w:rsidRPr="00892E1E">
              <w:rPr>
                <w:rFonts w:ascii="Times New Roman" w:hAnsi="Times New Roman"/>
                <w:webHidden/>
                <w:sz w:val="24"/>
                <w:szCs w:val="24"/>
              </w:rPr>
              <w:fldChar w:fldCharType="end"/>
            </w:r>
          </w:hyperlink>
        </w:p>
        <w:p w14:paraId="50264398" w14:textId="200CCE65" w:rsidR="005E6F31" w:rsidRPr="00892E1E" w:rsidRDefault="005E6F31">
          <w:pPr>
            <w:pStyle w:val="TOC2"/>
            <w:rPr>
              <w:rFonts w:ascii="Times New Roman" w:hAnsi="Times New Roman"/>
              <w:kern w:val="2"/>
              <w:sz w:val="24"/>
              <w:szCs w:val="24"/>
              <w14:ligatures w14:val="standardContextual"/>
            </w:rPr>
          </w:pPr>
          <w:hyperlink w:anchor="_Toc241066150" w:history="1">
            <w:r w:rsidRPr="00892E1E">
              <w:rPr>
                <w:rStyle w:val="Hyperlink"/>
                <w:rFonts w:ascii="Times New Roman" w:hAnsi="Times New Roman"/>
                <w:sz w:val="24"/>
                <w:szCs w:val="24"/>
              </w:rPr>
              <w:t>AMC1 145.A.200(a)(3)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83</w:t>
            </w:r>
            <w:r w:rsidRPr="00892E1E">
              <w:rPr>
                <w:rFonts w:ascii="Times New Roman" w:hAnsi="Times New Roman"/>
                <w:webHidden/>
                <w:sz w:val="24"/>
                <w:szCs w:val="24"/>
              </w:rPr>
              <w:fldChar w:fldCharType="end"/>
            </w:r>
          </w:hyperlink>
        </w:p>
        <w:p w14:paraId="66FC0937" w14:textId="6762506B" w:rsidR="005E6F31" w:rsidRPr="00892E1E" w:rsidRDefault="005E6F31">
          <w:pPr>
            <w:pStyle w:val="TOC2"/>
            <w:rPr>
              <w:rFonts w:ascii="Times New Roman" w:hAnsi="Times New Roman"/>
              <w:kern w:val="2"/>
              <w:sz w:val="24"/>
              <w:szCs w:val="24"/>
              <w14:ligatures w14:val="standardContextual"/>
            </w:rPr>
          </w:pPr>
          <w:hyperlink w:anchor="_Toc241066151" w:history="1">
            <w:r w:rsidRPr="00892E1E">
              <w:rPr>
                <w:rStyle w:val="Hyperlink"/>
                <w:rFonts w:ascii="Times New Roman" w:hAnsi="Times New Roman"/>
                <w:sz w:val="24"/>
                <w:szCs w:val="24"/>
              </w:rPr>
              <w:t>GM1 145.A.200(a)(3)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85</w:t>
            </w:r>
            <w:r w:rsidRPr="00892E1E">
              <w:rPr>
                <w:rFonts w:ascii="Times New Roman" w:hAnsi="Times New Roman"/>
                <w:webHidden/>
                <w:sz w:val="24"/>
                <w:szCs w:val="24"/>
              </w:rPr>
              <w:fldChar w:fldCharType="end"/>
            </w:r>
          </w:hyperlink>
        </w:p>
        <w:p w14:paraId="6DFA6B81" w14:textId="331937C2" w:rsidR="005E6F31" w:rsidRPr="00892E1E" w:rsidRDefault="005E6F31">
          <w:pPr>
            <w:pStyle w:val="TOC2"/>
            <w:rPr>
              <w:rFonts w:ascii="Times New Roman" w:hAnsi="Times New Roman"/>
              <w:kern w:val="2"/>
              <w:sz w:val="24"/>
              <w:szCs w:val="24"/>
              <w14:ligatures w14:val="standardContextual"/>
            </w:rPr>
          </w:pPr>
          <w:hyperlink w:anchor="_Toc241066152" w:history="1">
            <w:r w:rsidRPr="00892E1E">
              <w:rPr>
                <w:rStyle w:val="Hyperlink"/>
                <w:rFonts w:ascii="Times New Roman" w:hAnsi="Times New Roman"/>
                <w:sz w:val="24"/>
                <w:szCs w:val="24"/>
              </w:rPr>
              <w:t>GM2 145.A.200(a)(3)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85</w:t>
            </w:r>
            <w:r w:rsidRPr="00892E1E">
              <w:rPr>
                <w:rFonts w:ascii="Times New Roman" w:hAnsi="Times New Roman"/>
                <w:webHidden/>
                <w:sz w:val="24"/>
                <w:szCs w:val="24"/>
              </w:rPr>
              <w:fldChar w:fldCharType="end"/>
            </w:r>
          </w:hyperlink>
        </w:p>
        <w:p w14:paraId="3AFB1C9D" w14:textId="7832FB0D" w:rsidR="005E6F31" w:rsidRPr="00892E1E" w:rsidRDefault="005E6F31">
          <w:pPr>
            <w:pStyle w:val="TOC2"/>
            <w:rPr>
              <w:rFonts w:ascii="Times New Roman" w:hAnsi="Times New Roman"/>
              <w:kern w:val="2"/>
              <w:sz w:val="24"/>
              <w:szCs w:val="24"/>
              <w14:ligatures w14:val="standardContextual"/>
            </w:rPr>
          </w:pPr>
          <w:hyperlink w:anchor="_Toc241066153" w:history="1">
            <w:r w:rsidRPr="00892E1E">
              <w:rPr>
                <w:rStyle w:val="Hyperlink"/>
                <w:rFonts w:ascii="Times New Roman" w:hAnsi="Times New Roman"/>
                <w:sz w:val="24"/>
                <w:szCs w:val="24"/>
              </w:rPr>
              <w:t>AMC1 145.A.200(a)(4)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86</w:t>
            </w:r>
            <w:r w:rsidRPr="00892E1E">
              <w:rPr>
                <w:rFonts w:ascii="Times New Roman" w:hAnsi="Times New Roman"/>
                <w:webHidden/>
                <w:sz w:val="24"/>
                <w:szCs w:val="24"/>
              </w:rPr>
              <w:fldChar w:fldCharType="end"/>
            </w:r>
          </w:hyperlink>
        </w:p>
        <w:p w14:paraId="4E858A7A" w14:textId="6EB84016" w:rsidR="005E6F31" w:rsidRPr="00892E1E" w:rsidRDefault="005E6F31">
          <w:pPr>
            <w:pStyle w:val="TOC2"/>
            <w:rPr>
              <w:rFonts w:ascii="Times New Roman" w:hAnsi="Times New Roman"/>
              <w:kern w:val="2"/>
              <w:sz w:val="24"/>
              <w:szCs w:val="24"/>
              <w14:ligatures w14:val="standardContextual"/>
            </w:rPr>
          </w:pPr>
          <w:hyperlink w:anchor="_Toc241066154" w:history="1">
            <w:r w:rsidRPr="00892E1E">
              <w:rPr>
                <w:rStyle w:val="Hyperlink"/>
                <w:rFonts w:ascii="Times New Roman" w:hAnsi="Times New Roman"/>
                <w:sz w:val="24"/>
                <w:szCs w:val="24"/>
              </w:rPr>
              <w:t>GM1 145.A.200(a)(4)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87</w:t>
            </w:r>
            <w:r w:rsidRPr="00892E1E">
              <w:rPr>
                <w:rFonts w:ascii="Times New Roman" w:hAnsi="Times New Roman"/>
                <w:webHidden/>
                <w:sz w:val="24"/>
                <w:szCs w:val="24"/>
              </w:rPr>
              <w:fldChar w:fldCharType="end"/>
            </w:r>
          </w:hyperlink>
        </w:p>
        <w:p w14:paraId="741E432F" w14:textId="117FC87F" w:rsidR="005E6F31" w:rsidRPr="00892E1E" w:rsidRDefault="005E6F31">
          <w:pPr>
            <w:pStyle w:val="TOC2"/>
            <w:rPr>
              <w:rFonts w:ascii="Times New Roman" w:hAnsi="Times New Roman"/>
              <w:kern w:val="2"/>
              <w:sz w:val="24"/>
              <w:szCs w:val="24"/>
              <w14:ligatures w14:val="standardContextual"/>
            </w:rPr>
          </w:pPr>
          <w:hyperlink w:anchor="_Toc241066155" w:history="1">
            <w:r w:rsidRPr="00892E1E">
              <w:rPr>
                <w:rStyle w:val="Hyperlink"/>
                <w:rFonts w:ascii="Times New Roman" w:hAnsi="Times New Roman"/>
                <w:sz w:val="24"/>
                <w:szCs w:val="24"/>
              </w:rPr>
              <w:t>GM1 145.A.200(a)(5)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87</w:t>
            </w:r>
            <w:r w:rsidRPr="00892E1E">
              <w:rPr>
                <w:rFonts w:ascii="Times New Roman" w:hAnsi="Times New Roman"/>
                <w:webHidden/>
                <w:sz w:val="24"/>
                <w:szCs w:val="24"/>
              </w:rPr>
              <w:fldChar w:fldCharType="end"/>
            </w:r>
          </w:hyperlink>
        </w:p>
        <w:p w14:paraId="48044C3F" w14:textId="7A0151D4" w:rsidR="005E6F31" w:rsidRPr="00892E1E" w:rsidRDefault="005E6F31">
          <w:pPr>
            <w:pStyle w:val="TOC2"/>
            <w:rPr>
              <w:rFonts w:ascii="Times New Roman" w:hAnsi="Times New Roman"/>
              <w:kern w:val="2"/>
              <w:sz w:val="24"/>
              <w:szCs w:val="24"/>
              <w14:ligatures w14:val="standardContextual"/>
            </w:rPr>
          </w:pPr>
          <w:hyperlink w:anchor="_Toc241066156" w:history="1">
            <w:r w:rsidRPr="00892E1E">
              <w:rPr>
                <w:rStyle w:val="Hyperlink"/>
                <w:rFonts w:ascii="Times New Roman" w:hAnsi="Times New Roman"/>
                <w:sz w:val="24"/>
                <w:szCs w:val="24"/>
              </w:rPr>
              <w:t>AMC1 145.A.200(a)(6)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88</w:t>
            </w:r>
            <w:r w:rsidRPr="00892E1E">
              <w:rPr>
                <w:rFonts w:ascii="Times New Roman" w:hAnsi="Times New Roman"/>
                <w:webHidden/>
                <w:sz w:val="24"/>
                <w:szCs w:val="24"/>
              </w:rPr>
              <w:fldChar w:fldCharType="end"/>
            </w:r>
          </w:hyperlink>
        </w:p>
        <w:p w14:paraId="67EDF58F" w14:textId="536F1473" w:rsidR="005E6F31" w:rsidRPr="00892E1E" w:rsidRDefault="005E6F31">
          <w:pPr>
            <w:pStyle w:val="TOC2"/>
            <w:rPr>
              <w:rFonts w:ascii="Times New Roman" w:hAnsi="Times New Roman"/>
              <w:kern w:val="2"/>
              <w:sz w:val="24"/>
              <w:szCs w:val="24"/>
              <w14:ligatures w14:val="standardContextual"/>
            </w:rPr>
          </w:pPr>
          <w:hyperlink w:anchor="_Toc241066157" w:history="1">
            <w:r w:rsidRPr="00892E1E">
              <w:rPr>
                <w:rStyle w:val="Hyperlink"/>
                <w:rFonts w:ascii="Times New Roman" w:hAnsi="Times New Roman"/>
                <w:sz w:val="24"/>
                <w:szCs w:val="24"/>
              </w:rPr>
              <w:t>AMC2 145.A.200(a)(6)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88</w:t>
            </w:r>
            <w:r w:rsidRPr="00892E1E">
              <w:rPr>
                <w:rFonts w:ascii="Times New Roman" w:hAnsi="Times New Roman"/>
                <w:webHidden/>
                <w:sz w:val="24"/>
                <w:szCs w:val="24"/>
              </w:rPr>
              <w:fldChar w:fldCharType="end"/>
            </w:r>
          </w:hyperlink>
        </w:p>
        <w:p w14:paraId="2EF265A3" w14:textId="5F0D92D5" w:rsidR="005E6F31" w:rsidRPr="00892E1E" w:rsidRDefault="005E6F31">
          <w:pPr>
            <w:pStyle w:val="TOC2"/>
            <w:rPr>
              <w:rFonts w:ascii="Times New Roman" w:hAnsi="Times New Roman"/>
              <w:kern w:val="2"/>
              <w:sz w:val="24"/>
              <w:szCs w:val="24"/>
              <w14:ligatures w14:val="standardContextual"/>
            </w:rPr>
          </w:pPr>
          <w:hyperlink w:anchor="_Toc241066158" w:history="1">
            <w:r w:rsidRPr="00892E1E">
              <w:rPr>
                <w:rStyle w:val="Hyperlink"/>
                <w:rFonts w:ascii="Times New Roman" w:hAnsi="Times New Roman"/>
                <w:sz w:val="24"/>
                <w:szCs w:val="24"/>
              </w:rPr>
              <w:t>AMC3 145.A.200(a)(6)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89</w:t>
            </w:r>
            <w:r w:rsidRPr="00892E1E">
              <w:rPr>
                <w:rFonts w:ascii="Times New Roman" w:hAnsi="Times New Roman"/>
                <w:webHidden/>
                <w:sz w:val="24"/>
                <w:szCs w:val="24"/>
              </w:rPr>
              <w:fldChar w:fldCharType="end"/>
            </w:r>
          </w:hyperlink>
        </w:p>
        <w:p w14:paraId="2431ED44" w14:textId="3638EFCC" w:rsidR="005E6F31" w:rsidRPr="00892E1E" w:rsidRDefault="005E6F31">
          <w:pPr>
            <w:pStyle w:val="TOC2"/>
            <w:rPr>
              <w:rFonts w:ascii="Times New Roman" w:hAnsi="Times New Roman"/>
              <w:kern w:val="2"/>
              <w:sz w:val="24"/>
              <w:szCs w:val="24"/>
              <w14:ligatures w14:val="standardContextual"/>
            </w:rPr>
          </w:pPr>
          <w:hyperlink w:anchor="_Toc241066159" w:history="1">
            <w:r w:rsidRPr="00892E1E">
              <w:rPr>
                <w:rStyle w:val="Hyperlink"/>
                <w:rFonts w:ascii="Times New Roman" w:hAnsi="Times New Roman"/>
                <w:sz w:val="24"/>
                <w:szCs w:val="24"/>
              </w:rPr>
              <w:t>AMC4 145.A.200(a)(6)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_Toc241066159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90</w:t>
            </w:r>
            <w:r w:rsidRPr="00892E1E">
              <w:rPr>
                <w:rFonts w:ascii="Times New Roman" w:hAnsi="Times New Roman"/>
                <w:webHidden/>
                <w:sz w:val="24"/>
                <w:szCs w:val="24"/>
              </w:rPr>
              <w:fldChar w:fldCharType="end"/>
            </w:r>
          </w:hyperlink>
        </w:p>
        <w:p w14:paraId="2A681562" w14:textId="583C1F3B" w:rsidR="005E6F31" w:rsidRPr="00892E1E" w:rsidRDefault="005E6F31">
          <w:pPr>
            <w:pStyle w:val="TOC2"/>
            <w:rPr>
              <w:rFonts w:ascii="Times New Roman" w:hAnsi="Times New Roman"/>
              <w:kern w:val="2"/>
              <w:sz w:val="24"/>
              <w:szCs w:val="24"/>
              <w14:ligatures w14:val="standardContextual"/>
            </w:rPr>
          </w:pPr>
          <w:hyperlink w:anchor="_Toc241066160" w:history="1">
            <w:r w:rsidRPr="00892E1E">
              <w:rPr>
                <w:rStyle w:val="Hyperlink"/>
                <w:rFonts w:ascii="Times New Roman" w:hAnsi="Times New Roman"/>
                <w:sz w:val="24"/>
                <w:szCs w:val="24"/>
              </w:rPr>
              <w:t>GM1 145.A.200(a)(6)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90</w:t>
            </w:r>
            <w:r w:rsidRPr="00892E1E">
              <w:rPr>
                <w:rFonts w:ascii="Times New Roman" w:hAnsi="Times New Roman"/>
                <w:webHidden/>
                <w:sz w:val="24"/>
                <w:szCs w:val="24"/>
              </w:rPr>
              <w:fldChar w:fldCharType="end"/>
            </w:r>
          </w:hyperlink>
        </w:p>
        <w:p w14:paraId="7609159C" w14:textId="798BE29A" w:rsidR="005E6F31" w:rsidRPr="00892E1E" w:rsidRDefault="005E6F31">
          <w:pPr>
            <w:pStyle w:val="TOC2"/>
            <w:rPr>
              <w:rFonts w:ascii="Times New Roman" w:hAnsi="Times New Roman"/>
              <w:kern w:val="2"/>
              <w:sz w:val="24"/>
              <w:szCs w:val="24"/>
              <w14:ligatures w14:val="standardContextual"/>
            </w:rPr>
          </w:pPr>
          <w:hyperlink w:anchor="_Toc241066161" w:history="1">
            <w:r w:rsidRPr="00892E1E">
              <w:rPr>
                <w:rStyle w:val="Hyperlink"/>
                <w:rFonts w:ascii="Times New Roman" w:hAnsi="Times New Roman"/>
                <w:sz w:val="24"/>
                <w:szCs w:val="24"/>
              </w:rPr>
              <w:t>GM2 145.A.200(a)(6)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90</w:t>
            </w:r>
            <w:r w:rsidRPr="00892E1E">
              <w:rPr>
                <w:rFonts w:ascii="Times New Roman" w:hAnsi="Times New Roman"/>
                <w:webHidden/>
                <w:sz w:val="24"/>
                <w:szCs w:val="24"/>
              </w:rPr>
              <w:fldChar w:fldCharType="end"/>
            </w:r>
          </w:hyperlink>
        </w:p>
        <w:p w14:paraId="558EE6AD" w14:textId="23222D02" w:rsidR="005E6F31" w:rsidRPr="00892E1E" w:rsidRDefault="005E6F31">
          <w:pPr>
            <w:pStyle w:val="TOC2"/>
            <w:rPr>
              <w:rFonts w:ascii="Times New Roman" w:hAnsi="Times New Roman"/>
              <w:kern w:val="2"/>
              <w:sz w:val="24"/>
              <w:szCs w:val="24"/>
              <w14:ligatures w14:val="standardContextual"/>
            </w:rPr>
          </w:pPr>
          <w:hyperlink w:anchor="_Toc241066162" w:history="1">
            <w:r w:rsidRPr="00892E1E">
              <w:rPr>
                <w:rStyle w:val="Hyperlink"/>
                <w:rFonts w:ascii="Times New Roman" w:hAnsi="Times New Roman"/>
                <w:sz w:val="24"/>
                <w:szCs w:val="24"/>
              </w:rPr>
              <w:t>GM1 145.A.200(a)(6) and 145.B.300 Management system and Oversight principles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92</w:t>
            </w:r>
            <w:r w:rsidRPr="00892E1E">
              <w:rPr>
                <w:rFonts w:ascii="Times New Roman" w:hAnsi="Times New Roman"/>
                <w:webHidden/>
                <w:sz w:val="24"/>
                <w:szCs w:val="24"/>
              </w:rPr>
              <w:fldChar w:fldCharType="end"/>
            </w:r>
          </w:hyperlink>
        </w:p>
        <w:p w14:paraId="66344EFD" w14:textId="420F83BA" w:rsidR="005E6F31" w:rsidRPr="00892E1E" w:rsidRDefault="005E6F31">
          <w:pPr>
            <w:pStyle w:val="TOC2"/>
            <w:rPr>
              <w:rFonts w:ascii="Times New Roman" w:hAnsi="Times New Roman"/>
              <w:kern w:val="2"/>
              <w:sz w:val="24"/>
              <w:szCs w:val="24"/>
              <w14:ligatures w14:val="standardContextual"/>
            </w:rPr>
          </w:pPr>
          <w:hyperlink w:anchor="_Toc241066163" w:history="1">
            <w:r w:rsidRPr="00892E1E">
              <w:rPr>
                <w:rStyle w:val="Hyperlink"/>
                <w:rFonts w:ascii="Times New Roman" w:hAnsi="Times New Roman"/>
                <w:sz w:val="24"/>
                <w:szCs w:val="24"/>
              </w:rPr>
              <w:t>AMC1 145.A.202 Internal safety reporting scheme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94</w:t>
            </w:r>
            <w:r w:rsidRPr="00892E1E">
              <w:rPr>
                <w:rFonts w:ascii="Times New Roman" w:hAnsi="Times New Roman"/>
                <w:webHidden/>
                <w:sz w:val="24"/>
                <w:szCs w:val="24"/>
              </w:rPr>
              <w:fldChar w:fldCharType="end"/>
            </w:r>
          </w:hyperlink>
        </w:p>
        <w:p w14:paraId="7FC73F6F" w14:textId="105CFF30" w:rsidR="005E6F31" w:rsidRPr="00892E1E" w:rsidRDefault="005E6F31">
          <w:pPr>
            <w:pStyle w:val="TOC2"/>
            <w:rPr>
              <w:rFonts w:ascii="Times New Roman" w:hAnsi="Times New Roman"/>
              <w:kern w:val="2"/>
              <w:sz w:val="24"/>
              <w:szCs w:val="24"/>
              <w14:ligatures w14:val="standardContextual"/>
            </w:rPr>
          </w:pPr>
          <w:hyperlink w:anchor="_Toc241066164" w:history="1">
            <w:r w:rsidRPr="00892E1E">
              <w:rPr>
                <w:rStyle w:val="Hyperlink"/>
                <w:rFonts w:ascii="Times New Roman" w:hAnsi="Times New Roman"/>
                <w:sz w:val="24"/>
                <w:szCs w:val="24"/>
              </w:rPr>
              <w:t>GM1 145.A.202 Internal safety reporting scheme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94</w:t>
            </w:r>
            <w:r w:rsidRPr="00892E1E">
              <w:rPr>
                <w:rFonts w:ascii="Times New Roman" w:hAnsi="Times New Roman"/>
                <w:webHidden/>
                <w:sz w:val="24"/>
                <w:szCs w:val="24"/>
              </w:rPr>
              <w:fldChar w:fldCharType="end"/>
            </w:r>
          </w:hyperlink>
        </w:p>
        <w:p w14:paraId="19D98B60" w14:textId="25D40157" w:rsidR="005E6F31" w:rsidRPr="00892E1E" w:rsidRDefault="005E6F31">
          <w:pPr>
            <w:pStyle w:val="TOC2"/>
            <w:rPr>
              <w:rFonts w:ascii="Times New Roman" w:hAnsi="Times New Roman"/>
              <w:kern w:val="2"/>
              <w:sz w:val="24"/>
              <w:szCs w:val="24"/>
              <w14:ligatures w14:val="standardContextual"/>
            </w:rPr>
          </w:pPr>
          <w:hyperlink w:anchor="_Toc241066165" w:history="1">
            <w:r w:rsidRPr="00892E1E">
              <w:rPr>
                <w:rStyle w:val="Hyperlink"/>
                <w:rFonts w:ascii="Times New Roman" w:hAnsi="Times New Roman"/>
                <w:sz w:val="24"/>
                <w:szCs w:val="24"/>
              </w:rPr>
              <w:t>GM1 145.A.205 Contracting and subcontracting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95</w:t>
            </w:r>
            <w:r w:rsidRPr="00892E1E">
              <w:rPr>
                <w:rFonts w:ascii="Times New Roman" w:hAnsi="Times New Roman"/>
                <w:webHidden/>
                <w:sz w:val="24"/>
                <w:szCs w:val="24"/>
              </w:rPr>
              <w:fldChar w:fldCharType="end"/>
            </w:r>
          </w:hyperlink>
        </w:p>
        <w:p w14:paraId="49C493B4" w14:textId="3E7B145A" w:rsidR="005E6F31" w:rsidRPr="00892E1E" w:rsidRDefault="005E6F31">
          <w:pPr>
            <w:pStyle w:val="TOC2"/>
            <w:rPr>
              <w:rFonts w:ascii="Times New Roman" w:hAnsi="Times New Roman"/>
              <w:kern w:val="2"/>
              <w:sz w:val="24"/>
              <w:szCs w:val="24"/>
              <w14:ligatures w14:val="standardContextual"/>
            </w:rPr>
          </w:pPr>
          <w:hyperlink w:anchor="_Toc241066166" w:history="1">
            <w:r w:rsidRPr="00892E1E">
              <w:rPr>
                <w:rStyle w:val="Hyperlink"/>
                <w:rFonts w:ascii="Times New Roman" w:hAnsi="Times New Roman"/>
                <w:sz w:val="24"/>
                <w:szCs w:val="24"/>
              </w:rPr>
              <w:t>GM2 145.A.205 Contracting and subcontracting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95</w:t>
            </w:r>
            <w:r w:rsidRPr="00892E1E">
              <w:rPr>
                <w:rFonts w:ascii="Times New Roman" w:hAnsi="Times New Roman"/>
                <w:webHidden/>
                <w:sz w:val="24"/>
                <w:szCs w:val="24"/>
              </w:rPr>
              <w:fldChar w:fldCharType="end"/>
            </w:r>
          </w:hyperlink>
        </w:p>
        <w:p w14:paraId="15633237" w14:textId="327BE6DC" w:rsidR="005E6F31" w:rsidRPr="00892E1E" w:rsidRDefault="005E6F31">
          <w:pPr>
            <w:pStyle w:val="TOC2"/>
            <w:rPr>
              <w:rFonts w:ascii="Times New Roman" w:hAnsi="Times New Roman"/>
              <w:kern w:val="2"/>
              <w:sz w:val="24"/>
              <w:szCs w:val="24"/>
              <w14:ligatures w14:val="standardContextual"/>
            </w:rPr>
          </w:pPr>
          <w:hyperlink w:anchor="_Toc241066167" w:history="1">
            <w:r w:rsidRPr="00892E1E">
              <w:rPr>
                <w:rStyle w:val="Hyperlink"/>
                <w:rFonts w:ascii="Times New Roman" w:hAnsi="Times New Roman"/>
                <w:sz w:val="24"/>
                <w:szCs w:val="24"/>
              </w:rPr>
              <w:t>SECTION B - PROCEDURES FOR COMPETENT AUTHORITIES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96</w:t>
            </w:r>
            <w:r w:rsidRPr="00892E1E">
              <w:rPr>
                <w:rFonts w:ascii="Times New Roman" w:hAnsi="Times New Roman"/>
                <w:webHidden/>
                <w:sz w:val="24"/>
                <w:szCs w:val="24"/>
              </w:rPr>
              <w:fldChar w:fldCharType="end"/>
            </w:r>
          </w:hyperlink>
        </w:p>
        <w:p w14:paraId="198A28F2" w14:textId="7C8BDD49" w:rsidR="005E6F31" w:rsidRPr="00892E1E" w:rsidRDefault="005E6F31">
          <w:pPr>
            <w:pStyle w:val="TOC2"/>
            <w:rPr>
              <w:rFonts w:ascii="Times New Roman" w:hAnsi="Times New Roman"/>
              <w:kern w:val="2"/>
              <w:sz w:val="24"/>
              <w:szCs w:val="24"/>
              <w14:ligatures w14:val="standardContextual"/>
            </w:rPr>
          </w:pPr>
          <w:hyperlink w:anchor="_Toc241066168" w:history="1">
            <w:r w:rsidRPr="00892E1E">
              <w:rPr>
                <w:rStyle w:val="Hyperlink"/>
                <w:rFonts w:ascii="Times New Roman" w:hAnsi="Times New Roman"/>
                <w:sz w:val="24"/>
                <w:szCs w:val="24"/>
              </w:rPr>
              <w:t>GM1 145.B.120 Means of compliance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96</w:t>
            </w:r>
            <w:r w:rsidRPr="00892E1E">
              <w:rPr>
                <w:rFonts w:ascii="Times New Roman" w:hAnsi="Times New Roman"/>
                <w:webHidden/>
                <w:sz w:val="24"/>
                <w:szCs w:val="24"/>
              </w:rPr>
              <w:fldChar w:fldCharType="end"/>
            </w:r>
          </w:hyperlink>
        </w:p>
        <w:p w14:paraId="645191E5" w14:textId="6FFE39BE" w:rsidR="005E6F31" w:rsidRPr="00892E1E" w:rsidRDefault="005E6F31">
          <w:pPr>
            <w:pStyle w:val="TOC2"/>
            <w:rPr>
              <w:rFonts w:ascii="Times New Roman" w:hAnsi="Times New Roman"/>
              <w:kern w:val="2"/>
              <w:sz w:val="24"/>
              <w:szCs w:val="24"/>
              <w14:ligatures w14:val="standardContextual"/>
            </w:rPr>
          </w:pPr>
          <w:hyperlink w:anchor="_Toc241066169" w:history="1">
            <w:r w:rsidRPr="00892E1E">
              <w:rPr>
                <w:rStyle w:val="Hyperlink"/>
                <w:rFonts w:ascii="Times New Roman" w:hAnsi="Times New Roman"/>
                <w:sz w:val="24"/>
                <w:szCs w:val="24"/>
              </w:rPr>
              <w:t>AMC1 145.B.120(b);(c) Means of compliance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_Toc241066169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96</w:t>
            </w:r>
            <w:r w:rsidRPr="00892E1E">
              <w:rPr>
                <w:rFonts w:ascii="Times New Roman" w:hAnsi="Times New Roman"/>
                <w:webHidden/>
                <w:sz w:val="24"/>
                <w:szCs w:val="24"/>
              </w:rPr>
              <w:fldChar w:fldCharType="end"/>
            </w:r>
          </w:hyperlink>
        </w:p>
        <w:p w14:paraId="2856F10F" w14:textId="46E057FD" w:rsidR="005E6F31" w:rsidRPr="00892E1E" w:rsidRDefault="005E6F31">
          <w:pPr>
            <w:pStyle w:val="TOC2"/>
            <w:rPr>
              <w:rFonts w:ascii="Times New Roman" w:hAnsi="Times New Roman"/>
              <w:kern w:val="2"/>
              <w:sz w:val="24"/>
              <w:szCs w:val="24"/>
              <w14:ligatures w14:val="standardContextual"/>
            </w:rPr>
          </w:pPr>
          <w:hyperlink w:anchor="_Toc241066170" w:history="1">
            <w:r w:rsidRPr="00892E1E">
              <w:rPr>
                <w:rStyle w:val="Hyperlink"/>
                <w:rFonts w:ascii="Times New Roman" w:hAnsi="Times New Roman"/>
                <w:sz w:val="24"/>
                <w:szCs w:val="24"/>
              </w:rPr>
              <w:t>GM1 145.B.120(b);(c) Means of Compliance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97</w:t>
            </w:r>
            <w:r w:rsidRPr="00892E1E">
              <w:rPr>
                <w:rFonts w:ascii="Times New Roman" w:hAnsi="Times New Roman"/>
                <w:webHidden/>
                <w:sz w:val="24"/>
                <w:szCs w:val="24"/>
              </w:rPr>
              <w:fldChar w:fldCharType="end"/>
            </w:r>
          </w:hyperlink>
        </w:p>
        <w:p w14:paraId="2A6A9163" w14:textId="329E77EF" w:rsidR="005E6F31" w:rsidRPr="00892E1E" w:rsidRDefault="005E6F31">
          <w:pPr>
            <w:pStyle w:val="TOC2"/>
            <w:rPr>
              <w:rFonts w:ascii="Times New Roman" w:hAnsi="Times New Roman"/>
              <w:kern w:val="2"/>
              <w:sz w:val="24"/>
              <w:szCs w:val="24"/>
              <w14:ligatures w14:val="standardContextual"/>
            </w:rPr>
          </w:pPr>
          <w:hyperlink w:anchor="_Toc241066171" w:history="1">
            <w:r w:rsidRPr="00892E1E">
              <w:rPr>
                <w:rStyle w:val="Hyperlink"/>
                <w:rFonts w:ascii="Times New Roman" w:hAnsi="Times New Roman"/>
                <w:sz w:val="24"/>
                <w:szCs w:val="24"/>
              </w:rPr>
              <w:t>AMC1</w:t>
            </w:r>
            <w:r w:rsidRPr="00892E1E">
              <w:rPr>
                <w:rStyle w:val="Hyperlink"/>
                <w:rFonts w:ascii="Times New Roman" w:hAnsi="Times New Roman"/>
                <w:sz w:val="24"/>
                <w:szCs w:val="24"/>
              </w:rPr>
              <w:t xml:space="preserve"> </w:t>
            </w:r>
            <w:r w:rsidRPr="00892E1E">
              <w:rPr>
                <w:rStyle w:val="Hyperlink"/>
                <w:rFonts w:ascii="Times New Roman" w:hAnsi="Times New Roman"/>
                <w:sz w:val="24"/>
                <w:szCs w:val="24"/>
              </w:rPr>
              <w:t>145.B.135A Immediate reaction to an information security incident or vulnerability with an impact on aviation safety</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97</w:t>
            </w:r>
            <w:r w:rsidRPr="00892E1E">
              <w:rPr>
                <w:rFonts w:ascii="Times New Roman" w:hAnsi="Times New Roman"/>
                <w:webHidden/>
                <w:sz w:val="24"/>
                <w:szCs w:val="24"/>
              </w:rPr>
              <w:fldChar w:fldCharType="end"/>
            </w:r>
          </w:hyperlink>
        </w:p>
        <w:p w14:paraId="55583AA3" w14:textId="3A64DBC9" w:rsidR="005E6F31" w:rsidRPr="00892E1E" w:rsidRDefault="005E6F31">
          <w:pPr>
            <w:pStyle w:val="TOC2"/>
            <w:rPr>
              <w:rFonts w:ascii="Times New Roman" w:hAnsi="Times New Roman"/>
              <w:kern w:val="2"/>
              <w:sz w:val="24"/>
              <w:szCs w:val="24"/>
              <w14:ligatures w14:val="standardContextual"/>
            </w:rPr>
          </w:pPr>
          <w:hyperlink w:anchor="_Toc241066172" w:history="1">
            <w:r w:rsidRPr="00892E1E">
              <w:rPr>
                <w:rStyle w:val="Hyperlink"/>
                <w:rFonts w:ascii="Times New Roman" w:hAnsi="Times New Roman"/>
                <w:sz w:val="24"/>
                <w:szCs w:val="24"/>
              </w:rPr>
              <w:t>GM1 145.B.135A Immediate reaction to an information security incident or vulnerability with an impact on aviation safety</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97</w:t>
            </w:r>
            <w:r w:rsidRPr="00892E1E">
              <w:rPr>
                <w:rFonts w:ascii="Times New Roman" w:hAnsi="Times New Roman"/>
                <w:webHidden/>
                <w:sz w:val="24"/>
                <w:szCs w:val="24"/>
              </w:rPr>
              <w:fldChar w:fldCharType="end"/>
            </w:r>
          </w:hyperlink>
        </w:p>
        <w:p w14:paraId="34CE577B" w14:textId="0B5118F0" w:rsidR="005E6F31" w:rsidRPr="00892E1E" w:rsidRDefault="005E6F31">
          <w:pPr>
            <w:pStyle w:val="TOC2"/>
            <w:rPr>
              <w:rFonts w:ascii="Times New Roman" w:hAnsi="Times New Roman"/>
              <w:kern w:val="2"/>
              <w:sz w:val="24"/>
              <w:szCs w:val="24"/>
              <w14:ligatures w14:val="standardContextual"/>
            </w:rPr>
          </w:pPr>
          <w:hyperlink w:anchor="_Toc241066173" w:history="1">
            <w:r w:rsidRPr="00892E1E">
              <w:rPr>
                <w:rStyle w:val="Hyperlink"/>
                <w:rFonts w:ascii="Times New Roman" w:hAnsi="Times New Roman"/>
                <w:sz w:val="24"/>
                <w:szCs w:val="24"/>
              </w:rPr>
              <w:t>AMC1 145.B.200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97</w:t>
            </w:r>
            <w:r w:rsidRPr="00892E1E">
              <w:rPr>
                <w:rFonts w:ascii="Times New Roman" w:hAnsi="Times New Roman"/>
                <w:webHidden/>
                <w:sz w:val="24"/>
                <w:szCs w:val="24"/>
              </w:rPr>
              <w:fldChar w:fldCharType="end"/>
            </w:r>
          </w:hyperlink>
        </w:p>
        <w:p w14:paraId="6AFEE279" w14:textId="5F73B9EB" w:rsidR="005E6F31" w:rsidRPr="00892E1E" w:rsidRDefault="005E6F31">
          <w:pPr>
            <w:pStyle w:val="TOC2"/>
            <w:rPr>
              <w:rFonts w:ascii="Times New Roman" w:hAnsi="Times New Roman"/>
              <w:kern w:val="2"/>
              <w:sz w:val="24"/>
              <w:szCs w:val="24"/>
              <w14:ligatures w14:val="standardContextual"/>
            </w:rPr>
          </w:pPr>
          <w:hyperlink w:anchor="_Toc241066174" w:history="1">
            <w:r w:rsidRPr="00892E1E">
              <w:rPr>
                <w:rStyle w:val="Hyperlink"/>
                <w:rFonts w:ascii="Times New Roman" w:hAnsi="Times New Roman"/>
                <w:sz w:val="24"/>
                <w:szCs w:val="24"/>
              </w:rPr>
              <w:t>AMC2 145.B.200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98</w:t>
            </w:r>
            <w:r w:rsidRPr="00892E1E">
              <w:rPr>
                <w:rFonts w:ascii="Times New Roman" w:hAnsi="Times New Roman"/>
                <w:webHidden/>
                <w:sz w:val="24"/>
                <w:szCs w:val="24"/>
              </w:rPr>
              <w:fldChar w:fldCharType="end"/>
            </w:r>
          </w:hyperlink>
        </w:p>
        <w:p w14:paraId="4F431F29" w14:textId="08F7DAF8" w:rsidR="005E6F31" w:rsidRPr="00892E1E" w:rsidRDefault="005E6F31">
          <w:pPr>
            <w:pStyle w:val="TOC2"/>
            <w:rPr>
              <w:rFonts w:ascii="Times New Roman" w:hAnsi="Times New Roman"/>
              <w:kern w:val="2"/>
              <w:sz w:val="24"/>
              <w:szCs w:val="24"/>
              <w14:ligatures w14:val="standardContextual"/>
            </w:rPr>
          </w:pPr>
          <w:hyperlink w:anchor="_Toc241066175" w:history="1">
            <w:r w:rsidRPr="00892E1E">
              <w:rPr>
                <w:rStyle w:val="Hyperlink"/>
                <w:rFonts w:ascii="Times New Roman" w:hAnsi="Times New Roman"/>
                <w:sz w:val="24"/>
                <w:szCs w:val="24"/>
              </w:rPr>
              <w:t>AMC1 145.B.200(a)(1)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98</w:t>
            </w:r>
            <w:r w:rsidRPr="00892E1E">
              <w:rPr>
                <w:rFonts w:ascii="Times New Roman" w:hAnsi="Times New Roman"/>
                <w:webHidden/>
                <w:sz w:val="24"/>
                <w:szCs w:val="24"/>
              </w:rPr>
              <w:fldChar w:fldCharType="end"/>
            </w:r>
          </w:hyperlink>
        </w:p>
        <w:p w14:paraId="5D0F549D" w14:textId="124646EF" w:rsidR="005E6F31" w:rsidRPr="00892E1E" w:rsidRDefault="005E6F31">
          <w:pPr>
            <w:pStyle w:val="TOC2"/>
            <w:rPr>
              <w:rFonts w:ascii="Times New Roman" w:hAnsi="Times New Roman"/>
              <w:kern w:val="2"/>
              <w:sz w:val="24"/>
              <w:szCs w:val="24"/>
              <w14:ligatures w14:val="standardContextual"/>
            </w:rPr>
          </w:pPr>
          <w:hyperlink w:anchor="_Toc241066176" w:history="1">
            <w:r w:rsidRPr="00892E1E">
              <w:rPr>
                <w:rStyle w:val="Hyperlink"/>
                <w:rFonts w:ascii="Times New Roman" w:hAnsi="Times New Roman"/>
                <w:sz w:val="24"/>
                <w:szCs w:val="24"/>
              </w:rPr>
              <w:t>GM1 145.B.200(a)(2)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99</w:t>
            </w:r>
            <w:r w:rsidRPr="00892E1E">
              <w:rPr>
                <w:rFonts w:ascii="Times New Roman" w:hAnsi="Times New Roman"/>
                <w:webHidden/>
                <w:sz w:val="24"/>
                <w:szCs w:val="24"/>
              </w:rPr>
              <w:fldChar w:fldCharType="end"/>
            </w:r>
          </w:hyperlink>
        </w:p>
        <w:p w14:paraId="302DFA61" w14:textId="269829B6" w:rsidR="005E6F31" w:rsidRPr="00892E1E" w:rsidRDefault="005E6F31">
          <w:pPr>
            <w:pStyle w:val="TOC2"/>
            <w:rPr>
              <w:rFonts w:ascii="Times New Roman" w:hAnsi="Times New Roman"/>
              <w:kern w:val="2"/>
              <w:sz w:val="24"/>
              <w:szCs w:val="24"/>
              <w14:ligatures w14:val="standardContextual"/>
            </w:rPr>
          </w:pPr>
          <w:hyperlink w:anchor="_Toc241066177" w:history="1">
            <w:r w:rsidRPr="00892E1E">
              <w:rPr>
                <w:rStyle w:val="Hyperlink"/>
                <w:rFonts w:ascii="Times New Roman" w:hAnsi="Times New Roman"/>
                <w:sz w:val="24"/>
                <w:szCs w:val="24"/>
              </w:rPr>
              <w:t>AMC1 145.B.200(a)(3)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101</w:t>
            </w:r>
            <w:r w:rsidRPr="00892E1E">
              <w:rPr>
                <w:rFonts w:ascii="Times New Roman" w:hAnsi="Times New Roman"/>
                <w:webHidden/>
                <w:sz w:val="24"/>
                <w:szCs w:val="24"/>
              </w:rPr>
              <w:fldChar w:fldCharType="end"/>
            </w:r>
          </w:hyperlink>
        </w:p>
        <w:p w14:paraId="6EEB31EE" w14:textId="26DFCAE7" w:rsidR="005E6F31" w:rsidRPr="00892E1E" w:rsidRDefault="005E6F31">
          <w:pPr>
            <w:pStyle w:val="TOC2"/>
            <w:rPr>
              <w:rFonts w:ascii="Times New Roman" w:hAnsi="Times New Roman"/>
              <w:kern w:val="2"/>
              <w:sz w:val="24"/>
              <w:szCs w:val="24"/>
              <w14:ligatures w14:val="standardContextual"/>
            </w:rPr>
          </w:pPr>
          <w:hyperlink w:anchor="_Toc241066178" w:history="1">
            <w:r w:rsidRPr="00892E1E">
              <w:rPr>
                <w:rStyle w:val="Hyperlink"/>
                <w:rFonts w:ascii="Times New Roman" w:hAnsi="Times New Roman"/>
                <w:sz w:val="24"/>
                <w:szCs w:val="24"/>
              </w:rPr>
              <w:t>AMC2 145.B.200(a)(3)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101</w:t>
            </w:r>
            <w:r w:rsidRPr="00892E1E">
              <w:rPr>
                <w:rFonts w:ascii="Times New Roman" w:hAnsi="Times New Roman"/>
                <w:webHidden/>
                <w:sz w:val="24"/>
                <w:szCs w:val="24"/>
              </w:rPr>
              <w:fldChar w:fldCharType="end"/>
            </w:r>
          </w:hyperlink>
        </w:p>
        <w:p w14:paraId="4FE7575E" w14:textId="79CA4614" w:rsidR="005E6F31" w:rsidRPr="00892E1E" w:rsidRDefault="005E6F31">
          <w:pPr>
            <w:pStyle w:val="TOC2"/>
            <w:rPr>
              <w:rFonts w:ascii="Times New Roman" w:hAnsi="Times New Roman"/>
              <w:kern w:val="2"/>
              <w:sz w:val="24"/>
              <w:szCs w:val="24"/>
              <w14:ligatures w14:val="standardContextual"/>
            </w:rPr>
          </w:pPr>
          <w:hyperlink w:anchor="_Toc241066179" w:history="1">
            <w:r w:rsidRPr="00892E1E">
              <w:rPr>
                <w:rStyle w:val="Hyperlink"/>
                <w:rFonts w:ascii="Times New Roman" w:hAnsi="Times New Roman"/>
                <w:sz w:val="24"/>
                <w:szCs w:val="24"/>
              </w:rPr>
              <w:t>AMC3 145.B.200(a)(3)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_Toc241066179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102</w:t>
            </w:r>
            <w:r w:rsidRPr="00892E1E">
              <w:rPr>
                <w:rFonts w:ascii="Times New Roman" w:hAnsi="Times New Roman"/>
                <w:webHidden/>
                <w:sz w:val="24"/>
                <w:szCs w:val="24"/>
              </w:rPr>
              <w:fldChar w:fldCharType="end"/>
            </w:r>
          </w:hyperlink>
        </w:p>
        <w:p w14:paraId="790F9E2A" w14:textId="7DC077ED" w:rsidR="005E6F31" w:rsidRPr="00892E1E" w:rsidRDefault="005E6F31">
          <w:pPr>
            <w:pStyle w:val="TOC2"/>
            <w:rPr>
              <w:rFonts w:ascii="Times New Roman" w:hAnsi="Times New Roman"/>
              <w:kern w:val="2"/>
              <w:sz w:val="24"/>
              <w:szCs w:val="24"/>
              <w14:ligatures w14:val="standardContextual"/>
            </w:rPr>
          </w:pPr>
          <w:hyperlink w:anchor="_Toc241066180" w:history="1">
            <w:r w:rsidRPr="00892E1E">
              <w:rPr>
                <w:rStyle w:val="Hyperlink"/>
                <w:rFonts w:ascii="Times New Roman" w:hAnsi="Times New Roman"/>
                <w:sz w:val="24"/>
                <w:szCs w:val="24"/>
              </w:rPr>
              <w:t>AMC1 145.B.200(a)(5)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103</w:t>
            </w:r>
            <w:r w:rsidRPr="00892E1E">
              <w:rPr>
                <w:rFonts w:ascii="Times New Roman" w:hAnsi="Times New Roman"/>
                <w:webHidden/>
                <w:sz w:val="24"/>
                <w:szCs w:val="24"/>
              </w:rPr>
              <w:fldChar w:fldCharType="end"/>
            </w:r>
          </w:hyperlink>
        </w:p>
        <w:p w14:paraId="6733BC79" w14:textId="4B03ED68" w:rsidR="005E6F31" w:rsidRPr="00892E1E" w:rsidRDefault="005E6F31">
          <w:pPr>
            <w:pStyle w:val="TOC2"/>
            <w:rPr>
              <w:rFonts w:ascii="Times New Roman" w:hAnsi="Times New Roman"/>
              <w:kern w:val="2"/>
              <w:sz w:val="24"/>
              <w:szCs w:val="24"/>
              <w14:ligatures w14:val="standardContextual"/>
            </w:rPr>
          </w:pPr>
          <w:hyperlink w:anchor="_Toc241066181" w:history="1">
            <w:r w:rsidRPr="00892E1E">
              <w:rPr>
                <w:rStyle w:val="Hyperlink"/>
                <w:rFonts w:ascii="Times New Roman" w:hAnsi="Times New Roman"/>
                <w:sz w:val="24"/>
                <w:szCs w:val="24"/>
              </w:rPr>
              <w:t>GM1 145.B.200(a)(5)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104</w:t>
            </w:r>
            <w:r w:rsidRPr="00892E1E">
              <w:rPr>
                <w:rFonts w:ascii="Times New Roman" w:hAnsi="Times New Roman"/>
                <w:webHidden/>
                <w:sz w:val="24"/>
                <w:szCs w:val="24"/>
              </w:rPr>
              <w:fldChar w:fldCharType="end"/>
            </w:r>
          </w:hyperlink>
        </w:p>
        <w:p w14:paraId="46D25AAE" w14:textId="4ED28CF9" w:rsidR="005E6F31" w:rsidRPr="00892E1E" w:rsidRDefault="005E6F31">
          <w:pPr>
            <w:pStyle w:val="TOC2"/>
            <w:rPr>
              <w:rFonts w:ascii="Times New Roman" w:hAnsi="Times New Roman"/>
              <w:kern w:val="2"/>
              <w:sz w:val="24"/>
              <w:szCs w:val="24"/>
              <w14:ligatures w14:val="standardContextual"/>
            </w:rPr>
          </w:pPr>
          <w:hyperlink w:anchor="_Toc241066182" w:history="1">
            <w:r w:rsidRPr="00892E1E">
              <w:rPr>
                <w:rStyle w:val="Hyperlink"/>
                <w:rFonts w:ascii="Times New Roman" w:hAnsi="Times New Roman"/>
                <w:sz w:val="24"/>
                <w:szCs w:val="24"/>
              </w:rPr>
              <w:t>AMC1 145.B.200(d)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104</w:t>
            </w:r>
            <w:r w:rsidRPr="00892E1E">
              <w:rPr>
                <w:rFonts w:ascii="Times New Roman" w:hAnsi="Times New Roman"/>
                <w:webHidden/>
                <w:sz w:val="24"/>
                <w:szCs w:val="24"/>
              </w:rPr>
              <w:fldChar w:fldCharType="end"/>
            </w:r>
          </w:hyperlink>
        </w:p>
        <w:p w14:paraId="0EED8E32" w14:textId="3761A179" w:rsidR="005E6F31" w:rsidRPr="00892E1E" w:rsidRDefault="005E6F31">
          <w:pPr>
            <w:pStyle w:val="TOC2"/>
            <w:rPr>
              <w:rFonts w:ascii="Times New Roman" w:hAnsi="Times New Roman"/>
              <w:kern w:val="2"/>
              <w:sz w:val="24"/>
              <w:szCs w:val="24"/>
              <w14:ligatures w14:val="standardContextual"/>
            </w:rPr>
          </w:pPr>
          <w:hyperlink w:anchor="_Toc241066183" w:history="1">
            <w:r w:rsidRPr="00892E1E">
              <w:rPr>
                <w:rStyle w:val="Hyperlink"/>
                <w:rFonts w:ascii="Times New Roman" w:hAnsi="Times New Roman"/>
                <w:sz w:val="24"/>
                <w:szCs w:val="24"/>
              </w:rPr>
              <w:t>GM1 145.B.205 Allocation of tasks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105</w:t>
            </w:r>
            <w:r w:rsidRPr="00892E1E">
              <w:rPr>
                <w:rFonts w:ascii="Times New Roman" w:hAnsi="Times New Roman"/>
                <w:webHidden/>
                <w:sz w:val="24"/>
                <w:szCs w:val="24"/>
              </w:rPr>
              <w:fldChar w:fldCharType="end"/>
            </w:r>
          </w:hyperlink>
        </w:p>
        <w:p w14:paraId="4A74C47E" w14:textId="3A3C1DED" w:rsidR="005E6F31" w:rsidRPr="00892E1E" w:rsidRDefault="005E6F31">
          <w:pPr>
            <w:pStyle w:val="TOC2"/>
            <w:rPr>
              <w:rFonts w:ascii="Times New Roman" w:hAnsi="Times New Roman"/>
              <w:kern w:val="2"/>
              <w:sz w:val="24"/>
              <w:szCs w:val="24"/>
              <w14:ligatures w14:val="standardContextual"/>
            </w:rPr>
          </w:pPr>
          <w:hyperlink w:anchor="_Toc241066184" w:history="1">
            <w:r w:rsidRPr="00892E1E">
              <w:rPr>
                <w:rStyle w:val="Hyperlink"/>
                <w:rFonts w:ascii="Times New Roman" w:hAnsi="Times New Roman"/>
                <w:sz w:val="24"/>
                <w:szCs w:val="24"/>
              </w:rPr>
              <w:t>AMC1 145.B.220(a) Record-keeping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105</w:t>
            </w:r>
            <w:r w:rsidRPr="00892E1E">
              <w:rPr>
                <w:rFonts w:ascii="Times New Roman" w:hAnsi="Times New Roman"/>
                <w:webHidden/>
                <w:sz w:val="24"/>
                <w:szCs w:val="24"/>
              </w:rPr>
              <w:fldChar w:fldCharType="end"/>
            </w:r>
          </w:hyperlink>
        </w:p>
        <w:p w14:paraId="7CA2F5AE" w14:textId="636C420D" w:rsidR="005E6F31" w:rsidRPr="00892E1E" w:rsidRDefault="005E6F31">
          <w:pPr>
            <w:pStyle w:val="TOC2"/>
            <w:rPr>
              <w:rFonts w:ascii="Times New Roman" w:hAnsi="Times New Roman"/>
              <w:kern w:val="2"/>
              <w:sz w:val="24"/>
              <w:szCs w:val="24"/>
              <w14:ligatures w14:val="standardContextual"/>
            </w:rPr>
          </w:pPr>
          <w:hyperlink w:anchor="_Toc241066185" w:history="1">
            <w:r w:rsidRPr="00892E1E">
              <w:rPr>
                <w:rStyle w:val="Hyperlink"/>
                <w:rFonts w:ascii="Times New Roman" w:hAnsi="Times New Roman"/>
                <w:sz w:val="24"/>
                <w:szCs w:val="24"/>
              </w:rPr>
              <w:t>AMC1 145.B.220(a)(1) Record-keeping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105</w:t>
            </w:r>
            <w:r w:rsidRPr="00892E1E">
              <w:rPr>
                <w:rFonts w:ascii="Times New Roman" w:hAnsi="Times New Roman"/>
                <w:webHidden/>
                <w:sz w:val="24"/>
                <w:szCs w:val="24"/>
              </w:rPr>
              <w:fldChar w:fldCharType="end"/>
            </w:r>
          </w:hyperlink>
        </w:p>
        <w:p w14:paraId="12B8013C" w14:textId="61809A90" w:rsidR="005E6F31" w:rsidRPr="00892E1E" w:rsidRDefault="005E6F31">
          <w:pPr>
            <w:pStyle w:val="TOC2"/>
            <w:rPr>
              <w:rFonts w:ascii="Times New Roman" w:hAnsi="Times New Roman"/>
              <w:kern w:val="2"/>
              <w:sz w:val="24"/>
              <w:szCs w:val="24"/>
              <w14:ligatures w14:val="standardContextual"/>
            </w:rPr>
          </w:pPr>
          <w:hyperlink w:anchor="_Toc241066186" w:history="1">
            <w:r w:rsidRPr="00892E1E">
              <w:rPr>
                <w:rStyle w:val="Hyperlink"/>
                <w:rFonts w:ascii="Times New Roman" w:hAnsi="Times New Roman"/>
                <w:sz w:val="24"/>
                <w:szCs w:val="24"/>
              </w:rPr>
              <w:t>AMC1 145.B.300(a);(b);(c) Oversight principles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106</w:t>
            </w:r>
            <w:r w:rsidRPr="00892E1E">
              <w:rPr>
                <w:rFonts w:ascii="Times New Roman" w:hAnsi="Times New Roman"/>
                <w:webHidden/>
                <w:sz w:val="24"/>
                <w:szCs w:val="24"/>
              </w:rPr>
              <w:fldChar w:fldCharType="end"/>
            </w:r>
          </w:hyperlink>
        </w:p>
        <w:p w14:paraId="3814195D" w14:textId="7A42B670" w:rsidR="005E6F31" w:rsidRPr="00892E1E" w:rsidRDefault="005E6F31">
          <w:pPr>
            <w:pStyle w:val="TOC2"/>
            <w:rPr>
              <w:rFonts w:ascii="Times New Roman" w:hAnsi="Times New Roman"/>
              <w:kern w:val="2"/>
              <w:sz w:val="24"/>
              <w:szCs w:val="24"/>
              <w14:ligatures w14:val="standardContextual"/>
            </w:rPr>
          </w:pPr>
          <w:hyperlink w:anchor="_Toc241066187" w:history="1">
            <w:r w:rsidRPr="00892E1E">
              <w:rPr>
                <w:rStyle w:val="Hyperlink"/>
                <w:rFonts w:ascii="Times New Roman" w:hAnsi="Times New Roman"/>
                <w:sz w:val="24"/>
                <w:szCs w:val="24"/>
              </w:rPr>
              <w:t>AMC1 145.B.300(f) Oversight principles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106</w:t>
            </w:r>
            <w:r w:rsidRPr="00892E1E">
              <w:rPr>
                <w:rFonts w:ascii="Times New Roman" w:hAnsi="Times New Roman"/>
                <w:webHidden/>
                <w:sz w:val="24"/>
                <w:szCs w:val="24"/>
              </w:rPr>
              <w:fldChar w:fldCharType="end"/>
            </w:r>
          </w:hyperlink>
        </w:p>
        <w:p w14:paraId="761DD1F5" w14:textId="68B792D9" w:rsidR="005E6F31" w:rsidRPr="00892E1E" w:rsidRDefault="005E6F31">
          <w:pPr>
            <w:pStyle w:val="TOC2"/>
            <w:rPr>
              <w:rFonts w:ascii="Times New Roman" w:hAnsi="Times New Roman"/>
              <w:kern w:val="2"/>
              <w:sz w:val="24"/>
              <w:szCs w:val="24"/>
              <w14:ligatures w14:val="standardContextual"/>
            </w:rPr>
          </w:pPr>
          <w:hyperlink w:anchor="_Toc241066188" w:history="1">
            <w:r w:rsidRPr="00892E1E">
              <w:rPr>
                <w:rStyle w:val="Hyperlink"/>
                <w:rFonts w:ascii="Times New Roman" w:hAnsi="Times New Roman"/>
                <w:sz w:val="24"/>
                <w:szCs w:val="24"/>
              </w:rPr>
              <w:t>AMC1 145.B.305(a);(b)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106</w:t>
            </w:r>
            <w:r w:rsidRPr="00892E1E">
              <w:rPr>
                <w:rFonts w:ascii="Times New Roman" w:hAnsi="Times New Roman"/>
                <w:webHidden/>
                <w:sz w:val="24"/>
                <w:szCs w:val="24"/>
              </w:rPr>
              <w:fldChar w:fldCharType="end"/>
            </w:r>
          </w:hyperlink>
        </w:p>
        <w:p w14:paraId="710CA7A6" w14:textId="69861AD6" w:rsidR="005E6F31" w:rsidRPr="00892E1E" w:rsidRDefault="005E6F31">
          <w:pPr>
            <w:pStyle w:val="TOC2"/>
            <w:rPr>
              <w:rFonts w:ascii="Times New Roman" w:hAnsi="Times New Roman"/>
              <w:kern w:val="2"/>
              <w:sz w:val="24"/>
              <w:szCs w:val="24"/>
              <w14:ligatures w14:val="standardContextual"/>
            </w:rPr>
          </w:pPr>
          <w:hyperlink w:anchor="_Toc241066189" w:history="1">
            <w:r w:rsidRPr="00892E1E">
              <w:rPr>
                <w:rStyle w:val="Hyperlink"/>
                <w:rFonts w:ascii="Times New Roman" w:hAnsi="Times New Roman"/>
                <w:sz w:val="24"/>
                <w:szCs w:val="24"/>
              </w:rPr>
              <w:t>AMC1 145.B.305(b)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_Toc241066189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106</w:t>
            </w:r>
            <w:r w:rsidRPr="00892E1E">
              <w:rPr>
                <w:rFonts w:ascii="Times New Roman" w:hAnsi="Times New Roman"/>
                <w:webHidden/>
                <w:sz w:val="24"/>
                <w:szCs w:val="24"/>
              </w:rPr>
              <w:fldChar w:fldCharType="end"/>
            </w:r>
          </w:hyperlink>
        </w:p>
        <w:p w14:paraId="0D88910E" w14:textId="692E93A4" w:rsidR="005E6F31" w:rsidRPr="00892E1E" w:rsidRDefault="005E6F31">
          <w:pPr>
            <w:pStyle w:val="TOC2"/>
            <w:rPr>
              <w:rFonts w:ascii="Times New Roman" w:hAnsi="Times New Roman"/>
              <w:kern w:val="2"/>
              <w:sz w:val="24"/>
              <w:szCs w:val="24"/>
              <w14:ligatures w14:val="standardContextual"/>
            </w:rPr>
          </w:pPr>
          <w:hyperlink w:anchor="_Toc241066190" w:history="1">
            <w:r w:rsidRPr="00892E1E">
              <w:rPr>
                <w:rStyle w:val="Hyperlink"/>
                <w:rFonts w:ascii="Times New Roman" w:hAnsi="Times New Roman"/>
                <w:sz w:val="24"/>
                <w:szCs w:val="24"/>
              </w:rPr>
              <w:t>AMC2 145.B.305(b)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107</w:t>
            </w:r>
            <w:r w:rsidRPr="00892E1E">
              <w:rPr>
                <w:rFonts w:ascii="Times New Roman" w:hAnsi="Times New Roman"/>
                <w:webHidden/>
                <w:sz w:val="24"/>
                <w:szCs w:val="24"/>
              </w:rPr>
              <w:fldChar w:fldCharType="end"/>
            </w:r>
          </w:hyperlink>
        </w:p>
        <w:p w14:paraId="4B318267" w14:textId="2D744218" w:rsidR="005E6F31" w:rsidRPr="00892E1E" w:rsidRDefault="005E6F31">
          <w:pPr>
            <w:pStyle w:val="TOC2"/>
            <w:rPr>
              <w:rFonts w:ascii="Times New Roman" w:hAnsi="Times New Roman"/>
              <w:kern w:val="2"/>
              <w:sz w:val="24"/>
              <w:szCs w:val="24"/>
              <w14:ligatures w14:val="standardContextual"/>
            </w:rPr>
          </w:pPr>
          <w:hyperlink w:anchor="_Toc241066191" w:history="1">
            <w:r w:rsidRPr="00892E1E">
              <w:rPr>
                <w:rStyle w:val="Hyperlink"/>
                <w:rFonts w:ascii="Times New Roman" w:hAnsi="Times New Roman"/>
                <w:sz w:val="24"/>
                <w:szCs w:val="24"/>
              </w:rPr>
              <w:t>AMC1 145.B.305(b)(1)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107</w:t>
            </w:r>
            <w:r w:rsidRPr="00892E1E">
              <w:rPr>
                <w:rFonts w:ascii="Times New Roman" w:hAnsi="Times New Roman"/>
                <w:webHidden/>
                <w:sz w:val="24"/>
                <w:szCs w:val="24"/>
              </w:rPr>
              <w:fldChar w:fldCharType="end"/>
            </w:r>
          </w:hyperlink>
        </w:p>
        <w:p w14:paraId="45648BB9" w14:textId="2054E64D" w:rsidR="005E6F31" w:rsidRPr="00892E1E" w:rsidRDefault="005E6F31">
          <w:pPr>
            <w:pStyle w:val="TOC2"/>
            <w:rPr>
              <w:rFonts w:ascii="Times New Roman" w:hAnsi="Times New Roman"/>
              <w:kern w:val="2"/>
              <w:sz w:val="24"/>
              <w:szCs w:val="24"/>
              <w14:ligatures w14:val="standardContextual"/>
            </w:rPr>
          </w:pPr>
          <w:hyperlink w:anchor="_Toc241066192" w:history="1">
            <w:r w:rsidRPr="00892E1E">
              <w:rPr>
                <w:rStyle w:val="Hyperlink"/>
                <w:rFonts w:ascii="Times New Roman" w:hAnsi="Times New Roman"/>
                <w:sz w:val="24"/>
                <w:szCs w:val="24"/>
              </w:rPr>
              <w:t>AMC1 145.B.305(c)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107</w:t>
            </w:r>
            <w:r w:rsidRPr="00892E1E">
              <w:rPr>
                <w:rFonts w:ascii="Times New Roman" w:hAnsi="Times New Roman"/>
                <w:webHidden/>
                <w:sz w:val="24"/>
                <w:szCs w:val="24"/>
              </w:rPr>
              <w:fldChar w:fldCharType="end"/>
            </w:r>
          </w:hyperlink>
        </w:p>
        <w:p w14:paraId="3D511E09" w14:textId="38F4AF7B" w:rsidR="005E6F31" w:rsidRPr="00892E1E" w:rsidRDefault="005E6F31">
          <w:pPr>
            <w:pStyle w:val="TOC2"/>
            <w:rPr>
              <w:rFonts w:ascii="Times New Roman" w:hAnsi="Times New Roman"/>
              <w:kern w:val="2"/>
              <w:sz w:val="24"/>
              <w:szCs w:val="24"/>
              <w14:ligatures w14:val="standardContextual"/>
            </w:rPr>
          </w:pPr>
          <w:hyperlink w:anchor="_Toc241066193" w:history="1">
            <w:r w:rsidRPr="00892E1E">
              <w:rPr>
                <w:rStyle w:val="Hyperlink"/>
                <w:rFonts w:ascii="Times New Roman" w:hAnsi="Times New Roman"/>
                <w:sz w:val="24"/>
                <w:szCs w:val="24"/>
              </w:rPr>
              <w:t>AMC2 145.B.305(c)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108</w:t>
            </w:r>
            <w:r w:rsidRPr="00892E1E">
              <w:rPr>
                <w:rFonts w:ascii="Times New Roman" w:hAnsi="Times New Roman"/>
                <w:webHidden/>
                <w:sz w:val="24"/>
                <w:szCs w:val="24"/>
              </w:rPr>
              <w:fldChar w:fldCharType="end"/>
            </w:r>
          </w:hyperlink>
        </w:p>
        <w:p w14:paraId="6BFA1356" w14:textId="0816FA03" w:rsidR="005E6F31" w:rsidRPr="00892E1E" w:rsidRDefault="005E6F31">
          <w:pPr>
            <w:pStyle w:val="TOC2"/>
            <w:rPr>
              <w:rFonts w:ascii="Times New Roman" w:hAnsi="Times New Roman"/>
              <w:kern w:val="2"/>
              <w:sz w:val="24"/>
              <w:szCs w:val="24"/>
              <w14:ligatures w14:val="standardContextual"/>
            </w:rPr>
          </w:pPr>
          <w:hyperlink w:anchor="_Toc241066194" w:history="1">
            <w:r w:rsidRPr="00892E1E">
              <w:rPr>
                <w:rStyle w:val="Hyperlink"/>
                <w:rFonts w:ascii="Times New Roman" w:hAnsi="Times New Roman"/>
                <w:sz w:val="24"/>
                <w:szCs w:val="24"/>
              </w:rPr>
              <w:t>GM1 145.B.305(c)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108</w:t>
            </w:r>
            <w:r w:rsidRPr="00892E1E">
              <w:rPr>
                <w:rFonts w:ascii="Times New Roman" w:hAnsi="Times New Roman"/>
                <w:webHidden/>
                <w:sz w:val="24"/>
                <w:szCs w:val="24"/>
              </w:rPr>
              <w:fldChar w:fldCharType="end"/>
            </w:r>
          </w:hyperlink>
        </w:p>
        <w:p w14:paraId="73C4C2CD" w14:textId="3854EDEB" w:rsidR="005E6F31" w:rsidRPr="00892E1E" w:rsidRDefault="005E6F31">
          <w:pPr>
            <w:pStyle w:val="TOC2"/>
            <w:rPr>
              <w:rFonts w:ascii="Times New Roman" w:hAnsi="Times New Roman"/>
              <w:kern w:val="2"/>
              <w:sz w:val="24"/>
              <w:szCs w:val="24"/>
              <w14:ligatures w14:val="standardContextual"/>
            </w:rPr>
          </w:pPr>
          <w:hyperlink w:anchor="_Toc241066195" w:history="1">
            <w:r w:rsidRPr="00892E1E">
              <w:rPr>
                <w:rStyle w:val="Hyperlink"/>
                <w:rFonts w:ascii="Times New Roman" w:hAnsi="Times New Roman"/>
                <w:sz w:val="24"/>
                <w:szCs w:val="24"/>
              </w:rPr>
              <w:t>AMC1 145.B.305(d)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108</w:t>
            </w:r>
            <w:r w:rsidRPr="00892E1E">
              <w:rPr>
                <w:rFonts w:ascii="Times New Roman" w:hAnsi="Times New Roman"/>
                <w:webHidden/>
                <w:sz w:val="24"/>
                <w:szCs w:val="24"/>
              </w:rPr>
              <w:fldChar w:fldCharType="end"/>
            </w:r>
          </w:hyperlink>
        </w:p>
        <w:p w14:paraId="5E72165A" w14:textId="5E5C2F6D" w:rsidR="005E6F31" w:rsidRPr="00892E1E" w:rsidRDefault="005E6F31">
          <w:pPr>
            <w:pStyle w:val="TOC2"/>
            <w:rPr>
              <w:rFonts w:ascii="Times New Roman" w:hAnsi="Times New Roman"/>
              <w:kern w:val="2"/>
              <w:sz w:val="24"/>
              <w:szCs w:val="24"/>
              <w14:ligatures w14:val="standardContextual"/>
            </w:rPr>
          </w:pPr>
          <w:hyperlink w:anchor="_Toc241066196" w:history="1">
            <w:r w:rsidRPr="00892E1E">
              <w:rPr>
                <w:rStyle w:val="Hyperlink"/>
                <w:rFonts w:ascii="Times New Roman" w:hAnsi="Times New Roman"/>
                <w:sz w:val="24"/>
                <w:szCs w:val="24"/>
              </w:rPr>
              <w:t>GM1 145.B.305(d)(2) Oversight programme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109</w:t>
            </w:r>
            <w:r w:rsidRPr="00892E1E">
              <w:rPr>
                <w:rFonts w:ascii="Times New Roman" w:hAnsi="Times New Roman"/>
                <w:webHidden/>
                <w:sz w:val="24"/>
                <w:szCs w:val="24"/>
              </w:rPr>
              <w:fldChar w:fldCharType="end"/>
            </w:r>
          </w:hyperlink>
        </w:p>
        <w:p w14:paraId="59D0597A" w14:textId="0238382C" w:rsidR="005E6F31" w:rsidRPr="00892E1E" w:rsidRDefault="005E6F31">
          <w:pPr>
            <w:pStyle w:val="TOC2"/>
            <w:rPr>
              <w:rFonts w:ascii="Times New Roman" w:hAnsi="Times New Roman"/>
              <w:kern w:val="2"/>
              <w:sz w:val="24"/>
              <w:szCs w:val="24"/>
              <w14:ligatures w14:val="standardContextual"/>
            </w:rPr>
          </w:pPr>
          <w:hyperlink w:anchor="_Toc241066197" w:history="1">
            <w:r w:rsidRPr="00892E1E">
              <w:rPr>
                <w:rStyle w:val="Hyperlink"/>
                <w:rFonts w:ascii="Times New Roman" w:hAnsi="Times New Roman"/>
                <w:sz w:val="24"/>
                <w:szCs w:val="24"/>
              </w:rPr>
              <w:t>AMC1 145.B.310 Initial certification procedure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109</w:t>
            </w:r>
            <w:r w:rsidRPr="00892E1E">
              <w:rPr>
                <w:rFonts w:ascii="Times New Roman" w:hAnsi="Times New Roman"/>
                <w:webHidden/>
                <w:sz w:val="24"/>
                <w:szCs w:val="24"/>
              </w:rPr>
              <w:fldChar w:fldCharType="end"/>
            </w:r>
          </w:hyperlink>
        </w:p>
        <w:p w14:paraId="290594E8" w14:textId="534653FE" w:rsidR="005E6F31" w:rsidRPr="00892E1E" w:rsidRDefault="005E6F31">
          <w:pPr>
            <w:pStyle w:val="TOC2"/>
            <w:rPr>
              <w:rFonts w:ascii="Times New Roman" w:hAnsi="Times New Roman"/>
              <w:kern w:val="2"/>
              <w:sz w:val="24"/>
              <w:szCs w:val="24"/>
              <w14:ligatures w14:val="standardContextual"/>
            </w:rPr>
          </w:pPr>
          <w:hyperlink w:anchor="_Toc241066198" w:history="1">
            <w:r w:rsidRPr="00892E1E">
              <w:rPr>
                <w:rStyle w:val="Hyperlink"/>
                <w:rFonts w:ascii="Times New Roman" w:hAnsi="Times New Roman"/>
                <w:sz w:val="24"/>
                <w:szCs w:val="24"/>
              </w:rPr>
              <w:t>AMC1 145.B.310(a) Initial certification procedure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110</w:t>
            </w:r>
            <w:r w:rsidRPr="00892E1E">
              <w:rPr>
                <w:rFonts w:ascii="Times New Roman" w:hAnsi="Times New Roman"/>
                <w:webHidden/>
                <w:sz w:val="24"/>
                <w:szCs w:val="24"/>
              </w:rPr>
              <w:fldChar w:fldCharType="end"/>
            </w:r>
          </w:hyperlink>
        </w:p>
        <w:p w14:paraId="562E5E39" w14:textId="470F2898" w:rsidR="005E6F31" w:rsidRPr="00892E1E" w:rsidRDefault="005E6F31">
          <w:pPr>
            <w:pStyle w:val="TOC2"/>
            <w:rPr>
              <w:rFonts w:ascii="Times New Roman" w:hAnsi="Times New Roman"/>
              <w:kern w:val="2"/>
              <w:sz w:val="24"/>
              <w:szCs w:val="24"/>
              <w14:ligatures w14:val="standardContextual"/>
            </w:rPr>
          </w:pPr>
          <w:hyperlink w:anchor="_Toc241066199" w:history="1">
            <w:r w:rsidRPr="00892E1E">
              <w:rPr>
                <w:rStyle w:val="Hyperlink"/>
                <w:rFonts w:ascii="Times New Roman" w:hAnsi="Times New Roman"/>
                <w:sz w:val="24"/>
                <w:szCs w:val="24"/>
              </w:rPr>
              <w:t>AMC1 145.B.310(c) Initial certification procedure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_Toc241066199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110</w:t>
            </w:r>
            <w:r w:rsidRPr="00892E1E">
              <w:rPr>
                <w:rFonts w:ascii="Times New Roman" w:hAnsi="Times New Roman"/>
                <w:webHidden/>
                <w:sz w:val="24"/>
                <w:szCs w:val="24"/>
              </w:rPr>
              <w:fldChar w:fldCharType="end"/>
            </w:r>
          </w:hyperlink>
        </w:p>
        <w:p w14:paraId="4BE197A8" w14:textId="1377A015" w:rsidR="005E6F31" w:rsidRPr="00892E1E" w:rsidRDefault="005E6F31">
          <w:pPr>
            <w:pStyle w:val="TOC2"/>
            <w:rPr>
              <w:rFonts w:ascii="Times New Roman" w:hAnsi="Times New Roman"/>
              <w:kern w:val="2"/>
              <w:sz w:val="24"/>
              <w:szCs w:val="24"/>
              <w14:ligatures w14:val="standardContextual"/>
            </w:rPr>
          </w:pPr>
          <w:hyperlink w:anchor="_Toc241066200" w:history="1">
            <w:r w:rsidRPr="00892E1E">
              <w:rPr>
                <w:rStyle w:val="Hyperlink"/>
                <w:rFonts w:ascii="Times New Roman" w:hAnsi="Times New Roman"/>
                <w:sz w:val="24"/>
                <w:szCs w:val="24"/>
              </w:rPr>
              <w:t>AMC2 145.B.310(c) Initial certification procedure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110</w:t>
            </w:r>
            <w:r w:rsidRPr="00892E1E">
              <w:rPr>
                <w:rFonts w:ascii="Times New Roman" w:hAnsi="Times New Roman"/>
                <w:webHidden/>
                <w:sz w:val="24"/>
                <w:szCs w:val="24"/>
              </w:rPr>
              <w:fldChar w:fldCharType="end"/>
            </w:r>
          </w:hyperlink>
        </w:p>
        <w:p w14:paraId="2883F7E7" w14:textId="4593A148" w:rsidR="005E6F31" w:rsidRPr="00892E1E" w:rsidRDefault="005E6F31">
          <w:pPr>
            <w:pStyle w:val="TOC2"/>
            <w:rPr>
              <w:rFonts w:ascii="Times New Roman" w:hAnsi="Times New Roman"/>
              <w:kern w:val="2"/>
              <w:sz w:val="24"/>
              <w:szCs w:val="24"/>
              <w14:ligatures w14:val="standardContextual"/>
            </w:rPr>
          </w:pPr>
          <w:hyperlink w:anchor="_Toc241066201" w:history="1">
            <w:r w:rsidRPr="00892E1E">
              <w:rPr>
                <w:rStyle w:val="Hyperlink"/>
                <w:rFonts w:ascii="Times New Roman" w:hAnsi="Times New Roman"/>
                <w:sz w:val="24"/>
                <w:szCs w:val="24"/>
              </w:rPr>
              <w:t>AMC1 145.B.310(d) Initial certification procedure</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110</w:t>
            </w:r>
            <w:r w:rsidRPr="00892E1E">
              <w:rPr>
                <w:rFonts w:ascii="Times New Roman" w:hAnsi="Times New Roman"/>
                <w:webHidden/>
                <w:sz w:val="24"/>
                <w:szCs w:val="24"/>
              </w:rPr>
              <w:fldChar w:fldCharType="end"/>
            </w:r>
          </w:hyperlink>
        </w:p>
        <w:p w14:paraId="69CA13A9" w14:textId="310CBBF8" w:rsidR="005E6F31" w:rsidRPr="00892E1E" w:rsidRDefault="005E6F31">
          <w:pPr>
            <w:pStyle w:val="TOC2"/>
            <w:rPr>
              <w:rFonts w:ascii="Times New Roman" w:hAnsi="Times New Roman"/>
              <w:kern w:val="2"/>
              <w:sz w:val="24"/>
              <w:szCs w:val="24"/>
              <w14:ligatures w14:val="standardContextual"/>
            </w:rPr>
          </w:pPr>
          <w:hyperlink w:anchor="_Toc241066202" w:history="1">
            <w:r w:rsidRPr="00892E1E">
              <w:rPr>
                <w:rStyle w:val="Hyperlink"/>
                <w:rFonts w:ascii="Times New Roman" w:hAnsi="Times New Roman"/>
                <w:sz w:val="24"/>
                <w:szCs w:val="24"/>
              </w:rPr>
              <w:t>AMC1 145.B.330 Changes - organisations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111</w:t>
            </w:r>
            <w:r w:rsidRPr="00892E1E">
              <w:rPr>
                <w:rFonts w:ascii="Times New Roman" w:hAnsi="Times New Roman"/>
                <w:webHidden/>
                <w:sz w:val="24"/>
                <w:szCs w:val="24"/>
              </w:rPr>
              <w:fldChar w:fldCharType="end"/>
            </w:r>
          </w:hyperlink>
        </w:p>
        <w:p w14:paraId="086123D3" w14:textId="52ED79C2" w:rsidR="005E6F31" w:rsidRPr="00892E1E" w:rsidRDefault="005E6F31">
          <w:pPr>
            <w:pStyle w:val="TOC2"/>
            <w:rPr>
              <w:rFonts w:ascii="Times New Roman" w:hAnsi="Times New Roman"/>
              <w:kern w:val="2"/>
              <w:sz w:val="24"/>
              <w:szCs w:val="24"/>
              <w14:ligatures w14:val="standardContextual"/>
            </w:rPr>
          </w:pPr>
          <w:hyperlink w:anchor="_Toc241066203" w:history="1">
            <w:r w:rsidRPr="00892E1E">
              <w:rPr>
                <w:rStyle w:val="Hyperlink"/>
                <w:rFonts w:ascii="Times New Roman" w:hAnsi="Times New Roman"/>
                <w:sz w:val="24"/>
                <w:szCs w:val="24"/>
              </w:rPr>
              <w:t>GM1 145.B.330 Changes - organisations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_Toc241066203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111</w:t>
            </w:r>
            <w:r w:rsidRPr="00892E1E">
              <w:rPr>
                <w:rFonts w:ascii="Times New Roman" w:hAnsi="Times New Roman"/>
                <w:webHidden/>
                <w:sz w:val="24"/>
                <w:szCs w:val="24"/>
              </w:rPr>
              <w:fldChar w:fldCharType="end"/>
            </w:r>
          </w:hyperlink>
        </w:p>
        <w:p w14:paraId="11A7F892" w14:textId="6B830B4C" w:rsidR="005E6F31" w:rsidRPr="00892E1E" w:rsidRDefault="005E6F31">
          <w:pPr>
            <w:pStyle w:val="TOC2"/>
            <w:rPr>
              <w:rFonts w:ascii="Times New Roman" w:hAnsi="Times New Roman"/>
              <w:kern w:val="2"/>
              <w:sz w:val="24"/>
              <w:szCs w:val="24"/>
              <w14:ligatures w14:val="standardContextual"/>
            </w:rPr>
          </w:pPr>
          <w:hyperlink w:anchor="_Toc241066204" w:history="1">
            <w:r w:rsidRPr="00892E1E">
              <w:rPr>
                <w:rStyle w:val="Hyperlink"/>
                <w:rFonts w:ascii="Times New Roman" w:hAnsi="Times New Roman"/>
                <w:sz w:val="24"/>
                <w:szCs w:val="24"/>
              </w:rPr>
              <w:t>AMC1 145.B.330(e) Changes - organisations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_Toc241066204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111</w:t>
            </w:r>
            <w:r w:rsidRPr="00892E1E">
              <w:rPr>
                <w:rFonts w:ascii="Times New Roman" w:hAnsi="Times New Roman"/>
                <w:webHidden/>
                <w:sz w:val="24"/>
                <w:szCs w:val="24"/>
              </w:rPr>
              <w:fldChar w:fldCharType="end"/>
            </w:r>
          </w:hyperlink>
        </w:p>
        <w:p w14:paraId="73F7C53D" w14:textId="6E63A6D3" w:rsidR="005E6F31" w:rsidRPr="00892E1E" w:rsidRDefault="005E6F31">
          <w:pPr>
            <w:pStyle w:val="TOC2"/>
            <w:rPr>
              <w:rFonts w:ascii="Times New Roman" w:hAnsi="Times New Roman"/>
              <w:kern w:val="2"/>
              <w:sz w:val="24"/>
              <w:szCs w:val="24"/>
              <w14:ligatures w14:val="standardContextual"/>
            </w:rPr>
          </w:pPr>
          <w:hyperlink w:anchor="_Toc241066205" w:history="1">
            <w:r w:rsidRPr="00892E1E">
              <w:rPr>
                <w:rStyle w:val="Hyperlink"/>
                <w:rFonts w:ascii="Times New Roman" w:hAnsi="Times New Roman"/>
                <w:sz w:val="24"/>
                <w:szCs w:val="24"/>
              </w:rPr>
              <w:t>145.B.330A Changes to the information security management system</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_Toc241066205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111</w:t>
            </w:r>
            <w:r w:rsidRPr="00892E1E">
              <w:rPr>
                <w:rFonts w:ascii="Times New Roman" w:hAnsi="Times New Roman"/>
                <w:webHidden/>
                <w:sz w:val="24"/>
                <w:szCs w:val="24"/>
              </w:rPr>
              <w:fldChar w:fldCharType="end"/>
            </w:r>
          </w:hyperlink>
        </w:p>
        <w:p w14:paraId="0356AAF4" w14:textId="31FB7B5F" w:rsidR="005E6F31" w:rsidRPr="00892E1E" w:rsidRDefault="005E6F31">
          <w:pPr>
            <w:pStyle w:val="TOC2"/>
            <w:rPr>
              <w:rFonts w:ascii="Times New Roman" w:hAnsi="Times New Roman"/>
              <w:kern w:val="2"/>
              <w:sz w:val="24"/>
              <w:szCs w:val="24"/>
              <w14:ligatures w14:val="standardContextual"/>
            </w:rPr>
          </w:pPr>
          <w:hyperlink w:anchor="_Toc241066206" w:history="1">
            <w:r w:rsidRPr="00892E1E">
              <w:rPr>
                <w:rStyle w:val="Hyperlink"/>
                <w:rFonts w:ascii="Times New Roman" w:hAnsi="Times New Roman"/>
                <w:sz w:val="24"/>
                <w:szCs w:val="24"/>
              </w:rPr>
              <w:t>GM1 145.B.350(f) Findings and corrective actions; observations</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_Toc241066206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112</w:t>
            </w:r>
            <w:r w:rsidRPr="00892E1E">
              <w:rPr>
                <w:rFonts w:ascii="Times New Roman" w:hAnsi="Times New Roman"/>
                <w:webHidden/>
                <w:sz w:val="24"/>
                <w:szCs w:val="24"/>
              </w:rPr>
              <w:fldChar w:fldCharType="end"/>
            </w:r>
          </w:hyperlink>
        </w:p>
        <w:p w14:paraId="2EE8F46F" w14:textId="26978BC5" w:rsidR="005E6F31" w:rsidRPr="00892E1E" w:rsidRDefault="005E6F31">
          <w:pPr>
            <w:pStyle w:val="TOC2"/>
            <w:rPr>
              <w:rFonts w:ascii="Times New Roman" w:hAnsi="Times New Roman"/>
              <w:kern w:val="2"/>
              <w:sz w:val="24"/>
              <w:szCs w:val="24"/>
              <w14:ligatures w14:val="standardContextual"/>
            </w:rPr>
          </w:pPr>
          <w:hyperlink w:anchor="_Toc241066207" w:history="1">
            <w:r w:rsidRPr="00892E1E">
              <w:rPr>
                <w:rStyle w:val="Hyperlink"/>
                <w:rFonts w:ascii="Times New Roman" w:hAnsi="Times New Roman"/>
                <w:sz w:val="24"/>
                <w:szCs w:val="24"/>
              </w:rPr>
              <w:t>AMC1 Appendix III - Maintenance Organisation Approval referred to in Annex II (Part-145)</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_Toc241066207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114</w:t>
            </w:r>
            <w:r w:rsidRPr="00892E1E">
              <w:rPr>
                <w:rFonts w:ascii="Times New Roman" w:hAnsi="Times New Roman"/>
                <w:webHidden/>
                <w:sz w:val="24"/>
                <w:szCs w:val="24"/>
              </w:rPr>
              <w:fldChar w:fldCharType="end"/>
            </w:r>
          </w:hyperlink>
        </w:p>
        <w:p w14:paraId="39F61D18" w14:textId="262C296B" w:rsidR="005E6F31" w:rsidRPr="00892E1E" w:rsidRDefault="005E6F31">
          <w:pPr>
            <w:pStyle w:val="TOC2"/>
            <w:rPr>
              <w:rFonts w:ascii="Times New Roman" w:hAnsi="Times New Roman"/>
              <w:kern w:val="2"/>
              <w:sz w:val="24"/>
              <w:szCs w:val="24"/>
              <w14:ligatures w14:val="standardContextual"/>
            </w:rPr>
          </w:pPr>
          <w:hyperlink w:anchor="_Toc241066208" w:history="1">
            <w:r w:rsidRPr="00892E1E">
              <w:rPr>
                <w:rStyle w:val="Hyperlink"/>
                <w:rFonts w:ascii="Times New Roman" w:hAnsi="Times New Roman"/>
                <w:sz w:val="24"/>
                <w:szCs w:val="24"/>
              </w:rPr>
              <w:t>GM1 Appendix III — Maintenance Organisation Certificate — CAA Form 3-145</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_Toc241066208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115</w:t>
            </w:r>
            <w:r w:rsidRPr="00892E1E">
              <w:rPr>
                <w:rFonts w:ascii="Times New Roman" w:hAnsi="Times New Roman"/>
                <w:webHidden/>
                <w:sz w:val="24"/>
                <w:szCs w:val="24"/>
              </w:rPr>
              <w:fldChar w:fldCharType="end"/>
            </w:r>
          </w:hyperlink>
        </w:p>
        <w:p w14:paraId="31C6E23C" w14:textId="64D4D8E0" w:rsidR="005E6F31" w:rsidRPr="00892E1E" w:rsidRDefault="005E6F31">
          <w:pPr>
            <w:pStyle w:val="TOC1"/>
            <w:rPr>
              <w:rFonts w:eastAsiaTheme="minorEastAsia"/>
              <w:kern w:val="2"/>
              <w:szCs w:val="24"/>
              <w:lang w:val="en-US" w:eastAsia="en-US"/>
              <w14:ligatures w14:val="standardContextual"/>
            </w:rPr>
          </w:pPr>
          <w:hyperlink w:anchor="_Toc241066209" w:history="1">
            <w:r w:rsidRPr="00892E1E">
              <w:rPr>
                <w:rStyle w:val="Hyperlink"/>
                <w:szCs w:val="24"/>
                <w:lang w:val="en-US"/>
              </w:rPr>
              <w:t>APPENDICES TO AMC TO ANNEX II (PART-145)</w:t>
            </w:r>
            <w:r w:rsidRPr="00892E1E">
              <w:rPr>
                <w:webHidden/>
                <w:szCs w:val="24"/>
              </w:rPr>
              <w:tab/>
            </w:r>
            <w:r w:rsidRPr="00892E1E">
              <w:rPr>
                <w:webHidden/>
                <w:szCs w:val="24"/>
              </w:rPr>
              <w:fldChar w:fldCharType="begin"/>
            </w:r>
            <w:r w:rsidRPr="00892E1E">
              <w:rPr>
                <w:webHidden/>
                <w:szCs w:val="24"/>
              </w:rPr>
              <w:instrText xml:space="preserve"> PAGEREF _Toc241066209 \h </w:instrText>
            </w:r>
            <w:r w:rsidRPr="00892E1E">
              <w:rPr>
                <w:webHidden/>
                <w:szCs w:val="24"/>
              </w:rPr>
            </w:r>
            <w:r w:rsidRPr="00892E1E">
              <w:rPr>
                <w:webHidden/>
                <w:szCs w:val="24"/>
              </w:rPr>
              <w:fldChar w:fldCharType="separate"/>
            </w:r>
            <w:r w:rsidR="00892E1E">
              <w:rPr>
                <w:webHidden/>
                <w:szCs w:val="24"/>
              </w:rPr>
              <w:t>115</w:t>
            </w:r>
            <w:r w:rsidRPr="00892E1E">
              <w:rPr>
                <w:webHidden/>
                <w:szCs w:val="24"/>
              </w:rPr>
              <w:fldChar w:fldCharType="end"/>
            </w:r>
          </w:hyperlink>
        </w:p>
        <w:p w14:paraId="35E1DA56" w14:textId="56200E7A" w:rsidR="005E6F31" w:rsidRPr="00892E1E" w:rsidRDefault="005E6F31">
          <w:pPr>
            <w:pStyle w:val="TOC2"/>
            <w:rPr>
              <w:rFonts w:ascii="Times New Roman" w:hAnsi="Times New Roman"/>
              <w:kern w:val="2"/>
              <w:sz w:val="24"/>
              <w:szCs w:val="24"/>
              <w14:ligatures w14:val="standardContextual"/>
            </w:rPr>
          </w:pPr>
          <w:hyperlink w:anchor="_Toc241066210" w:history="1">
            <w:r w:rsidRPr="00892E1E">
              <w:rPr>
                <w:rStyle w:val="Hyperlink"/>
                <w:rFonts w:ascii="Times New Roman" w:hAnsi="Times New Roman"/>
                <w:sz w:val="24"/>
                <w:szCs w:val="24"/>
              </w:rPr>
              <w:t>Appendix II to AMC2 145.B.310(c) - CAA Form 6</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_Toc241066210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115</w:t>
            </w:r>
            <w:r w:rsidRPr="00892E1E">
              <w:rPr>
                <w:rFonts w:ascii="Times New Roman" w:hAnsi="Times New Roman"/>
                <w:webHidden/>
                <w:sz w:val="24"/>
                <w:szCs w:val="24"/>
              </w:rPr>
              <w:fldChar w:fldCharType="end"/>
            </w:r>
          </w:hyperlink>
        </w:p>
        <w:p w14:paraId="3481D41C" w14:textId="516ABD7F" w:rsidR="005E6F31" w:rsidRPr="00892E1E" w:rsidRDefault="005E6F31">
          <w:pPr>
            <w:pStyle w:val="TOC2"/>
            <w:rPr>
              <w:rFonts w:ascii="Times New Roman" w:hAnsi="Times New Roman"/>
              <w:kern w:val="2"/>
              <w:sz w:val="24"/>
              <w:szCs w:val="24"/>
              <w14:ligatures w14:val="standardContextual"/>
            </w:rPr>
          </w:pPr>
          <w:hyperlink w:anchor="_Toc241066211" w:history="1">
            <w:r w:rsidRPr="00892E1E">
              <w:rPr>
                <w:rStyle w:val="Hyperlink"/>
                <w:rFonts w:ascii="Times New Roman" w:hAnsi="Times New Roman"/>
                <w:sz w:val="24"/>
                <w:szCs w:val="24"/>
              </w:rPr>
              <w:t>Appendix III to AMC1 145.A.15 - CAA Form 2</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_Toc241066211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115</w:t>
            </w:r>
            <w:r w:rsidRPr="00892E1E">
              <w:rPr>
                <w:rFonts w:ascii="Times New Roman" w:hAnsi="Times New Roman"/>
                <w:webHidden/>
                <w:sz w:val="24"/>
                <w:szCs w:val="24"/>
              </w:rPr>
              <w:fldChar w:fldCharType="end"/>
            </w:r>
          </w:hyperlink>
        </w:p>
        <w:p w14:paraId="73B2F8DB" w14:textId="6D6AB72A" w:rsidR="005E6F31" w:rsidRPr="00892E1E" w:rsidRDefault="005E6F31">
          <w:pPr>
            <w:pStyle w:val="TOC2"/>
            <w:rPr>
              <w:rFonts w:ascii="Times New Roman" w:hAnsi="Times New Roman"/>
              <w:kern w:val="2"/>
              <w:sz w:val="24"/>
              <w:szCs w:val="24"/>
              <w14:ligatures w14:val="standardContextual"/>
            </w:rPr>
          </w:pPr>
          <w:hyperlink w:anchor="_Toc241066212" w:history="1">
            <w:r w:rsidRPr="00892E1E">
              <w:rPr>
                <w:rStyle w:val="Hyperlink"/>
                <w:rFonts w:ascii="Times New Roman" w:hAnsi="Times New Roman"/>
                <w:sz w:val="24"/>
                <w:szCs w:val="24"/>
              </w:rPr>
              <w:t>Appendix IV to AMC5 145.A.30(e) and AMC2 145.B.200(a)(3) - Fuel Tank Safety Training</w:t>
            </w:r>
            <w:r w:rsidRPr="00892E1E">
              <w:rPr>
                <w:rFonts w:ascii="Times New Roman" w:hAnsi="Times New Roman"/>
                <w:webHidden/>
                <w:sz w:val="24"/>
                <w:szCs w:val="24"/>
              </w:rPr>
              <w:tab/>
            </w:r>
            <w:r w:rsidRPr="00892E1E">
              <w:rPr>
                <w:rFonts w:ascii="Times New Roman" w:hAnsi="Times New Roman"/>
                <w:webHidden/>
                <w:sz w:val="24"/>
                <w:szCs w:val="24"/>
              </w:rPr>
              <w:fldChar w:fldCharType="begin"/>
            </w:r>
            <w:r w:rsidRPr="00892E1E">
              <w:rPr>
                <w:rFonts w:ascii="Times New Roman" w:hAnsi="Times New Roman"/>
                <w:webHidden/>
                <w:sz w:val="24"/>
                <w:szCs w:val="24"/>
              </w:rPr>
              <w:instrText xml:space="preserve"> PAGEREF _Toc241066212 \h </w:instrText>
            </w:r>
            <w:r w:rsidRPr="00892E1E">
              <w:rPr>
                <w:rFonts w:ascii="Times New Roman" w:hAnsi="Times New Roman"/>
                <w:webHidden/>
                <w:sz w:val="24"/>
                <w:szCs w:val="24"/>
              </w:rPr>
            </w:r>
            <w:r w:rsidRPr="00892E1E">
              <w:rPr>
                <w:rFonts w:ascii="Times New Roman" w:hAnsi="Times New Roman"/>
                <w:webHidden/>
                <w:sz w:val="24"/>
                <w:szCs w:val="24"/>
              </w:rPr>
              <w:fldChar w:fldCharType="separate"/>
            </w:r>
            <w:r w:rsidR="00892E1E">
              <w:rPr>
                <w:rFonts w:ascii="Times New Roman" w:hAnsi="Times New Roman"/>
                <w:webHidden/>
                <w:sz w:val="24"/>
                <w:szCs w:val="24"/>
              </w:rPr>
              <w:t>115</w:t>
            </w:r>
            <w:r w:rsidRPr="00892E1E">
              <w:rPr>
                <w:rFonts w:ascii="Times New Roman" w:hAnsi="Times New Roman"/>
                <w:webHidden/>
                <w:sz w:val="24"/>
                <w:szCs w:val="24"/>
              </w:rPr>
              <w:fldChar w:fldCharType="end"/>
            </w:r>
          </w:hyperlink>
        </w:p>
        <w:p w14:paraId="7A24DBA0" w14:textId="3401DCB9" w:rsidR="00126B51" w:rsidRPr="00892E1E" w:rsidRDefault="00126B51" w:rsidP="00C95D06">
          <w:pPr>
            <w:spacing w:after="0"/>
            <w:jc w:val="both"/>
            <w:rPr>
              <w:rFonts w:ascii="Times New Roman" w:hAnsi="Times New Roman" w:cs="Times New Roman"/>
              <w:sz w:val="24"/>
              <w:szCs w:val="24"/>
            </w:rPr>
          </w:pPr>
          <w:r w:rsidRPr="00892E1E">
            <w:rPr>
              <w:rFonts w:ascii="Times New Roman" w:hAnsi="Times New Roman" w:cs="Times New Roman"/>
              <w:b/>
              <w:bCs/>
              <w:sz w:val="24"/>
              <w:szCs w:val="24"/>
            </w:rPr>
            <w:fldChar w:fldCharType="end"/>
          </w:r>
        </w:p>
      </w:sdtContent>
    </w:sdt>
    <w:bookmarkStart w:id="1" w:name="_Toc209450337" w:displacedByCustomXml="prev"/>
    <w:bookmarkStart w:id="2" w:name="_Toc191547311" w:displacedByCustomXml="prev"/>
    <w:p w14:paraId="589141C7" w14:textId="77777777" w:rsidR="00366532" w:rsidRPr="00892E1E" w:rsidRDefault="00366532" w:rsidP="00C95D06">
      <w:pPr>
        <w:spacing w:after="0"/>
        <w:jc w:val="both"/>
        <w:rPr>
          <w:rFonts w:ascii="Times New Roman" w:hAnsi="Times New Roman" w:cs="Times New Roman"/>
          <w:sz w:val="24"/>
          <w:szCs w:val="24"/>
          <w:lang w:val="ro-RO"/>
        </w:rPr>
      </w:pPr>
    </w:p>
    <w:p w14:paraId="1760FBEA" w14:textId="77777777" w:rsidR="00366532" w:rsidRPr="00892E1E" w:rsidRDefault="00366532" w:rsidP="00C95D06">
      <w:pPr>
        <w:spacing w:after="0"/>
        <w:jc w:val="both"/>
        <w:rPr>
          <w:rFonts w:ascii="Times New Roman" w:hAnsi="Times New Roman" w:cs="Times New Roman"/>
          <w:sz w:val="24"/>
          <w:szCs w:val="24"/>
          <w:lang w:val="ro-RO"/>
        </w:rPr>
      </w:pPr>
    </w:p>
    <w:p w14:paraId="0DAA8396" w14:textId="77777777" w:rsidR="003C666F" w:rsidRPr="00AD3643" w:rsidRDefault="003C666F" w:rsidP="00C95D06">
      <w:pPr>
        <w:spacing w:after="0"/>
        <w:jc w:val="both"/>
        <w:rPr>
          <w:rFonts w:ascii="Times New Roman" w:hAnsi="Times New Roman" w:cs="Times New Roman"/>
          <w:sz w:val="24"/>
          <w:szCs w:val="24"/>
          <w:lang w:val="ro-RO"/>
        </w:rPr>
      </w:pPr>
    </w:p>
    <w:p w14:paraId="64A65D61" w14:textId="77777777" w:rsidR="00366532" w:rsidRPr="00AD3643" w:rsidRDefault="00366532" w:rsidP="00C95D06">
      <w:pPr>
        <w:spacing w:after="0"/>
        <w:jc w:val="both"/>
        <w:rPr>
          <w:rFonts w:ascii="Times New Roman" w:hAnsi="Times New Roman" w:cs="Times New Roman"/>
          <w:sz w:val="24"/>
          <w:szCs w:val="24"/>
          <w:lang w:val="ro-RO"/>
        </w:rPr>
      </w:pPr>
    </w:p>
    <w:p w14:paraId="43E54B71" w14:textId="77777777" w:rsidR="00366532" w:rsidRPr="00AD3643" w:rsidRDefault="00366532" w:rsidP="00C95D06">
      <w:pPr>
        <w:spacing w:after="0"/>
        <w:jc w:val="both"/>
        <w:rPr>
          <w:rFonts w:ascii="Times New Roman" w:hAnsi="Times New Roman" w:cs="Times New Roman"/>
          <w:sz w:val="24"/>
          <w:szCs w:val="24"/>
          <w:lang w:val="ro-RO"/>
        </w:rPr>
      </w:pPr>
    </w:p>
    <w:p w14:paraId="6E0BDC81" w14:textId="77777777" w:rsidR="00366532" w:rsidRPr="00AD3643" w:rsidRDefault="00366532" w:rsidP="00C95D06">
      <w:pPr>
        <w:spacing w:after="0"/>
        <w:jc w:val="both"/>
        <w:rPr>
          <w:rFonts w:ascii="Times New Roman" w:hAnsi="Times New Roman" w:cs="Times New Roman"/>
          <w:sz w:val="24"/>
          <w:szCs w:val="24"/>
          <w:lang w:val="ro-RO"/>
        </w:rPr>
      </w:pPr>
    </w:p>
    <w:p w14:paraId="0E562471" w14:textId="77777777" w:rsidR="00366532" w:rsidRPr="00AD3643" w:rsidRDefault="00366532" w:rsidP="00C95D06">
      <w:pPr>
        <w:spacing w:after="0"/>
        <w:jc w:val="both"/>
        <w:rPr>
          <w:rFonts w:ascii="Times New Roman" w:hAnsi="Times New Roman" w:cs="Times New Roman"/>
          <w:sz w:val="24"/>
          <w:szCs w:val="24"/>
          <w:lang w:val="ro-RO"/>
        </w:rPr>
      </w:pPr>
    </w:p>
    <w:p w14:paraId="1243BDEA" w14:textId="77777777" w:rsidR="00366532" w:rsidRPr="00AD3643" w:rsidRDefault="00366532" w:rsidP="00C95D06">
      <w:pPr>
        <w:spacing w:after="0"/>
        <w:jc w:val="both"/>
        <w:rPr>
          <w:rFonts w:ascii="Times New Roman" w:hAnsi="Times New Roman" w:cs="Times New Roman"/>
          <w:sz w:val="24"/>
          <w:szCs w:val="24"/>
          <w:lang w:val="ro-RO"/>
        </w:rPr>
      </w:pPr>
    </w:p>
    <w:p w14:paraId="111DF3E0" w14:textId="77777777" w:rsidR="00366532" w:rsidRDefault="00366532" w:rsidP="00C95D06">
      <w:pPr>
        <w:spacing w:after="0"/>
        <w:jc w:val="both"/>
        <w:rPr>
          <w:rFonts w:ascii="Times New Roman" w:hAnsi="Times New Roman" w:cs="Times New Roman"/>
          <w:sz w:val="24"/>
          <w:szCs w:val="24"/>
          <w:lang w:val="ro-RO"/>
        </w:rPr>
      </w:pPr>
    </w:p>
    <w:p w14:paraId="2831C945" w14:textId="77777777" w:rsidR="003C666F" w:rsidRDefault="003C666F" w:rsidP="00C95D06">
      <w:pPr>
        <w:spacing w:after="0"/>
        <w:jc w:val="both"/>
        <w:rPr>
          <w:rFonts w:ascii="Times New Roman" w:hAnsi="Times New Roman" w:cs="Times New Roman"/>
          <w:sz w:val="24"/>
          <w:szCs w:val="24"/>
          <w:lang w:val="ro-RO"/>
        </w:rPr>
      </w:pPr>
    </w:p>
    <w:p w14:paraId="264CCF9A" w14:textId="77777777" w:rsidR="003C666F" w:rsidRDefault="003C666F" w:rsidP="00C95D06">
      <w:pPr>
        <w:spacing w:after="0"/>
        <w:jc w:val="both"/>
        <w:rPr>
          <w:rFonts w:ascii="Times New Roman" w:hAnsi="Times New Roman" w:cs="Times New Roman"/>
          <w:sz w:val="24"/>
          <w:szCs w:val="24"/>
          <w:lang w:val="ro-RO"/>
        </w:rPr>
      </w:pPr>
    </w:p>
    <w:p w14:paraId="7F015051" w14:textId="77777777" w:rsidR="003C666F" w:rsidRPr="00AD3643" w:rsidRDefault="003C666F" w:rsidP="00C95D06">
      <w:pPr>
        <w:spacing w:after="0"/>
        <w:jc w:val="both"/>
        <w:rPr>
          <w:rFonts w:ascii="Times New Roman" w:hAnsi="Times New Roman" w:cs="Times New Roman"/>
          <w:sz w:val="24"/>
          <w:szCs w:val="24"/>
          <w:lang w:val="ro-RO"/>
        </w:rPr>
      </w:pPr>
    </w:p>
    <w:p w14:paraId="35326285" w14:textId="77777777" w:rsidR="00366532" w:rsidRPr="00AD3643" w:rsidRDefault="00366532" w:rsidP="00C95D06">
      <w:pPr>
        <w:spacing w:after="0"/>
        <w:jc w:val="both"/>
        <w:rPr>
          <w:rFonts w:ascii="Times New Roman" w:hAnsi="Times New Roman" w:cs="Times New Roman"/>
          <w:sz w:val="24"/>
          <w:szCs w:val="24"/>
          <w:lang w:val="ro-RO"/>
        </w:rPr>
      </w:pPr>
    </w:p>
    <w:p w14:paraId="6832AE99" w14:textId="77777777" w:rsidR="00366532" w:rsidRPr="00AD3643" w:rsidRDefault="00366532" w:rsidP="00C95D06">
      <w:pPr>
        <w:spacing w:after="0"/>
        <w:jc w:val="both"/>
        <w:rPr>
          <w:rFonts w:ascii="Times New Roman" w:hAnsi="Times New Roman" w:cs="Times New Roman"/>
          <w:sz w:val="24"/>
          <w:szCs w:val="24"/>
          <w:lang w:val="ro-RO"/>
        </w:rPr>
      </w:pPr>
    </w:p>
    <w:p w14:paraId="5695BF7C" w14:textId="77777777" w:rsidR="00366532" w:rsidRPr="00AD3643" w:rsidRDefault="00366532" w:rsidP="00C95D06">
      <w:pPr>
        <w:spacing w:after="0"/>
        <w:jc w:val="both"/>
        <w:rPr>
          <w:rFonts w:ascii="Times New Roman" w:hAnsi="Times New Roman" w:cs="Times New Roman"/>
          <w:sz w:val="24"/>
          <w:szCs w:val="24"/>
          <w:lang w:val="ro-RO"/>
        </w:rPr>
      </w:pPr>
    </w:p>
    <w:p w14:paraId="2CBCE7E6" w14:textId="77777777" w:rsidR="00366532" w:rsidRPr="00AD3643" w:rsidRDefault="00366532" w:rsidP="00C95D06">
      <w:pPr>
        <w:spacing w:after="0"/>
        <w:jc w:val="both"/>
        <w:rPr>
          <w:rFonts w:ascii="Times New Roman" w:hAnsi="Times New Roman" w:cs="Times New Roman"/>
          <w:sz w:val="24"/>
          <w:szCs w:val="24"/>
          <w:lang w:val="ro-RO"/>
        </w:rPr>
      </w:pPr>
    </w:p>
    <w:p w14:paraId="701ACCC7" w14:textId="77777777" w:rsidR="00366532" w:rsidRPr="00AD3643" w:rsidRDefault="00366532" w:rsidP="00C95D06">
      <w:pPr>
        <w:spacing w:after="0"/>
        <w:jc w:val="both"/>
        <w:rPr>
          <w:rFonts w:ascii="Times New Roman" w:hAnsi="Times New Roman" w:cs="Times New Roman"/>
          <w:sz w:val="24"/>
          <w:szCs w:val="24"/>
          <w:lang w:val="ro-RO"/>
        </w:rPr>
      </w:pPr>
    </w:p>
    <w:p w14:paraId="48972068" w14:textId="77777777" w:rsidR="004757C8" w:rsidRPr="00AD3643" w:rsidRDefault="004757C8" w:rsidP="00C95D06">
      <w:pPr>
        <w:spacing w:after="0"/>
        <w:jc w:val="both"/>
        <w:rPr>
          <w:rFonts w:ascii="Times New Roman" w:hAnsi="Times New Roman" w:cs="Times New Roman"/>
          <w:sz w:val="24"/>
          <w:szCs w:val="24"/>
          <w:lang w:val="ro-RO"/>
        </w:rPr>
      </w:pPr>
    </w:p>
    <w:p w14:paraId="1EB3D301" w14:textId="77777777" w:rsidR="004757C8" w:rsidRDefault="004757C8" w:rsidP="00C95D06">
      <w:pPr>
        <w:spacing w:after="0"/>
        <w:jc w:val="both"/>
        <w:rPr>
          <w:rFonts w:ascii="Times New Roman" w:hAnsi="Times New Roman" w:cs="Times New Roman"/>
          <w:sz w:val="24"/>
          <w:szCs w:val="24"/>
          <w:lang w:val="ro-RO"/>
        </w:rPr>
      </w:pPr>
    </w:p>
    <w:p w14:paraId="66A339A0" w14:textId="77777777" w:rsidR="00870ADB" w:rsidRDefault="00870ADB" w:rsidP="00C95D06">
      <w:pPr>
        <w:spacing w:after="0"/>
        <w:jc w:val="both"/>
        <w:rPr>
          <w:rFonts w:ascii="Times New Roman" w:hAnsi="Times New Roman" w:cs="Times New Roman"/>
          <w:sz w:val="24"/>
          <w:szCs w:val="24"/>
          <w:lang w:val="ro-RO"/>
        </w:rPr>
      </w:pPr>
    </w:p>
    <w:p w14:paraId="326A31AC" w14:textId="77777777" w:rsidR="00870ADB" w:rsidRDefault="00870ADB" w:rsidP="00C95D06">
      <w:pPr>
        <w:spacing w:after="0"/>
        <w:jc w:val="both"/>
        <w:rPr>
          <w:rFonts w:ascii="Times New Roman" w:hAnsi="Times New Roman" w:cs="Times New Roman"/>
          <w:sz w:val="24"/>
          <w:szCs w:val="24"/>
          <w:lang w:val="ro-RO"/>
        </w:rPr>
      </w:pPr>
    </w:p>
    <w:p w14:paraId="3CAE6F00" w14:textId="77777777" w:rsidR="00870ADB" w:rsidRDefault="00870ADB" w:rsidP="00C95D06">
      <w:pPr>
        <w:spacing w:after="0"/>
        <w:jc w:val="both"/>
        <w:rPr>
          <w:rFonts w:ascii="Times New Roman" w:hAnsi="Times New Roman" w:cs="Times New Roman"/>
          <w:sz w:val="24"/>
          <w:szCs w:val="24"/>
          <w:lang w:val="ro-RO"/>
        </w:rPr>
      </w:pPr>
    </w:p>
    <w:p w14:paraId="13805698" w14:textId="77777777" w:rsidR="00870ADB" w:rsidRDefault="00870ADB" w:rsidP="00C95D06">
      <w:pPr>
        <w:spacing w:after="0"/>
        <w:jc w:val="both"/>
        <w:rPr>
          <w:rFonts w:ascii="Times New Roman" w:hAnsi="Times New Roman" w:cs="Times New Roman"/>
          <w:sz w:val="24"/>
          <w:szCs w:val="24"/>
          <w:lang w:val="ro-RO"/>
        </w:rPr>
      </w:pPr>
    </w:p>
    <w:p w14:paraId="74235970" w14:textId="77777777" w:rsidR="00870ADB" w:rsidRDefault="00870ADB" w:rsidP="00C95D06">
      <w:pPr>
        <w:spacing w:after="0"/>
        <w:jc w:val="both"/>
        <w:rPr>
          <w:rFonts w:ascii="Times New Roman" w:hAnsi="Times New Roman" w:cs="Times New Roman"/>
          <w:sz w:val="24"/>
          <w:szCs w:val="24"/>
          <w:lang w:val="ro-RO"/>
        </w:rPr>
      </w:pPr>
    </w:p>
    <w:p w14:paraId="0DA8624A" w14:textId="77777777" w:rsidR="00870ADB" w:rsidRDefault="00870ADB" w:rsidP="00C95D06">
      <w:pPr>
        <w:spacing w:after="0"/>
        <w:jc w:val="both"/>
        <w:rPr>
          <w:rFonts w:ascii="Times New Roman" w:hAnsi="Times New Roman" w:cs="Times New Roman"/>
          <w:sz w:val="24"/>
          <w:szCs w:val="24"/>
          <w:lang w:val="ro-RO"/>
        </w:rPr>
      </w:pPr>
    </w:p>
    <w:p w14:paraId="2263CDEF" w14:textId="77777777" w:rsidR="00870ADB" w:rsidRDefault="00870ADB" w:rsidP="00C95D06">
      <w:pPr>
        <w:spacing w:after="0"/>
        <w:jc w:val="both"/>
        <w:rPr>
          <w:rFonts w:ascii="Times New Roman" w:hAnsi="Times New Roman" w:cs="Times New Roman"/>
          <w:sz w:val="24"/>
          <w:szCs w:val="24"/>
          <w:lang w:val="ro-RO"/>
        </w:rPr>
      </w:pPr>
    </w:p>
    <w:p w14:paraId="5124E339" w14:textId="77777777" w:rsidR="00870ADB" w:rsidRDefault="00870ADB" w:rsidP="00C95D06">
      <w:pPr>
        <w:spacing w:after="0"/>
        <w:jc w:val="both"/>
        <w:rPr>
          <w:rFonts w:ascii="Times New Roman" w:hAnsi="Times New Roman" w:cs="Times New Roman"/>
          <w:sz w:val="24"/>
          <w:szCs w:val="24"/>
          <w:lang w:val="ro-RO"/>
        </w:rPr>
      </w:pPr>
    </w:p>
    <w:p w14:paraId="6C2FC855" w14:textId="77777777" w:rsidR="00870ADB" w:rsidRDefault="00870ADB" w:rsidP="00C95D06">
      <w:pPr>
        <w:spacing w:after="0"/>
        <w:jc w:val="both"/>
        <w:rPr>
          <w:rFonts w:ascii="Times New Roman" w:hAnsi="Times New Roman" w:cs="Times New Roman"/>
          <w:sz w:val="24"/>
          <w:szCs w:val="24"/>
          <w:lang w:val="ro-RO"/>
        </w:rPr>
      </w:pPr>
    </w:p>
    <w:p w14:paraId="3378E169" w14:textId="77777777" w:rsidR="00870ADB" w:rsidRDefault="00870ADB" w:rsidP="00C95D06">
      <w:pPr>
        <w:spacing w:after="0"/>
        <w:jc w:val="both"/>
        <w:rPr>
          <w:rFonts w:ascii="Times New Roman" w:hAnsi="Times New Roman" w:cs="Times New Roman"/>
          <w:sz w:val="24"/>
          <w:szCs w:val="24"/>
          <w:lang w:val="ro-RO"/>
        </w:rPr>
      </w:pPr>
    </w:p>
    <w:p w14:paraId="3A34080B" w14:textId="77777777" w:rsidR="00870ADB" w:rsidRPr="00AD3643" w:rsidRDefault="00870ADB" w:rsidP="00C95D06">
      <w:pPr>
        <w:spacing w:after="0"/>
        <w:jc w:val="both"/>
        <w:rPr>
          <w:rFonts w:ascii="Times New Roman" w:hAnsi="Times New Roman" w:cs="Times New Roman"/>
          <w:sz w:val="24"/>
          <w:szCs w:val="24"/>
          <w:lang w:val="ro-RO"/>
        </w:rPr>
      </w:pPr>
    </w:p>
    <w:p w14:paraId="24C2EA39" w14:textId="77777777" w:rsidR="004757C8" w:rsidRPr="00AD3643" w:rsidRDefault="004757C8" w:rsidP="00C95D06">
      <w:pPr>
        <w:spacing w:after="0"/>
        <w:jc w:val="both"/>
        <w:rPr>
          <w:rFonts w:ascii="Times New Roman" w:hAnsi="Times New Roman" w:cs="Times New Roman"/>
          <w:sz w:val="24"/>
          <w:szCs w:val="24"/>
          <w:lang w:val="ro-RO"/>
        </w:rPr>
      </w:pPr>
    </w:p>
    <w:p w14:paraId="7748E903" w14:textId="77777777" w:rsidR="004757C8" w:rsidRPr="00AD3643" w:rsidRDefault="004757C8" w:rsidP="00C95D06">
      <w:pPr>
        <w:spacing w:after="0"/>
        <w:jc w:val="both"/>
        <w:rPr>
          <w:rFonts w:ascii="Times New Roman" w:hAnsi="Times New Roman" w:cs="Times New Roman"/>
          <w:sz w:val="24"/>
          <w:szCs w:val="24"/>
          <w:lang w:val="ro-RO"/>
        </w:rPr>
      </w:pPr>
    </w:p>
    <w:p w14:paraId="416D85B3" w14:textId="77777777" w:rsidR="004757C8" w:rsidRPr="00AD3643" w:rsidRDefault="004757C8" w:rsidP="00C95D06">
      <w:pPr>
        <w:spacing w:after="0"/>
        <w:jc w:val="both"/>
        <w:rPr>
          <w:rFonts w:ascii="Times New Roman" w:hAnsi="Times New Roman" w:cs="Times New Roman"/>
          <w:sz w:val="24"/>
          <w:szCs w:val="24"/>
          <w:lang w:val="ro-RO"/>
        </w:rPr>
      </w:pPr>
    </w:p>
    <w:p w14:paraId="527B3E2E" w14:textId="77777777" w:rsidR="00366532" w:rsidRDefault="00366532" w:rsidP="00C95D06">
      <w:pPr>
        <w:spacing w:after="0"/>
        <w:jc w:val="both"/>
        <w:rPr>
          <w:rFonts w:ascii="Times New Roman" w:hAnsi="Times New Roman" w:cs="Times New Roman"/>
          <w:sz w:val="24"/>
          <w:szCs w:val="24"/>
          <w:lang w:val="ro-RO"/>
        </w:rPr>
      </w:pPr>
    </w:p>
    <w:p w14:paraId="0BCF67B7" w14:textId="17163B78" w:rsidR="00A64AA1" w:rsidRPr="00AD3643" w:rsidRDefault="00A64AA1" w:rsidP="00C95D06">
      <w:pPr>
        <w:pStyle w:val="Heading1"/>
        <w:spacing w:after="0"/>
        <w:jc w:val="both"/>
        <w:rPr>
          <w:rFonts w:ascii="Times New Roman" w:hAnsi="Times New Roman" w:cs="Times New Roman"/>
          <w:sz w:val="24"/>
          <w:szCs w:val="24"/>
          <w:lang w:val="ro-RO"/>
        </w:rPr>
      </w:pPr>
      <w:bookmarkStart w:id="3" w:name="_Toc241066012"/>
      <w:r w:rsidRPr="00AD3643">
        <w:rPr>
          <w:rFonts w:ascii="Times New Roman" w:hAnsi="Times New Roman" w:cs="Times New Roman"/>
          <w:sz w:val="24"/>
          <w:szCs w:val="24"/>
          <w:lang w:val="ro-RO"/>
        </w:rPr>
        <w:lastRenderedPageBreak/>
        <w:t>INDEXUL AMENDAMENTELOR</w:t>
      </w:r>
      <w:bookmarkEnd w:id="2"/>
      <w:bookmarkEnd w:id="1"/>
      <w:bookmarkEnd w:id="3"/>
      <w:r w:rsidRPr="00AD3643">
        <w:rPr>
          <w:rFonts w:ascii="Times New Roman" w:hAnsi="Times New Roman" w:cs="Times New Roman"/>
          <w:sz w:val="24"/>
          <w:szCs w:val="24"/>
          <w:lang w:val="ro-RO"/>
        </w:rPr>
        <w:t xml:space="preserve"> </w:t>
      </w:r>
    </w:p>
    <w:tbl>
      <w:tblPr>
        <w:tblW w:w="49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
        <w:gridCol w:w="2349"/>
        <w:gridCol w:w="1983"/>
        <w:gridCol w:w="2862"/>
        <w:gridCol w:w="1664"/>
      </w:tblGrid>
      <w:tr w:rsidR="00A64AA1" w:rsidRPr="00AD3643" w14:paraId="3781569F" w14:textId="77777777" w:rsidTr="00892E1E">
        <w:tc>
          <w:tcPr>
            <w:tcW w:w="332" w:type="pct"/>
            <w:tcBorders>
              <w:top w:val="single" w:sz="4" w:space="0" w:color="auto"/>
              <w:left w:val="single" w:sz="4" w:space="0" w:color="auto"/>
              <w:bottom w:val="single" w:sz="4" w:space="0" w:color="auto"/>
              <w:right w:val="single" w:sz="4" w:space="0" w:color="auto"/>
            </w:tcBorders>
          </w:tcPr>
          <w:p w14:paraId="2ECA9D8A" w14:textId="77777777" w:rsidR="00A64AA1" w:rsidRPr="00AD3643" w:rsidRDefault="00A64AA1" w:rsidP="00C95D06">
            <w:pPr>
              <w:pStyle w:val="Footer"/>
              <w:jc w:val="both"/>
              <w:rPr>
                <w:rFonts w:ascii="Times New Roman" w:hAnsi="Times New Roman" w:cs="Times New Roman"/>
                <w:b/>
                <w:bCs/>
                <w:sz w:val="24"/>
                <w:szCs w:val="24"/>
              </w:rPr>
            </w:pPr>
            <w:r w:rsidRPr="00AD3643">
              <w:rPr>
                <w:rFonts w:ascii="Times New Roman" w:hAnsi="Times New Roman" w:cs="Times New Roman"/>
                <w:b/>
                <w:bCs/>
                <w:sz w:val="24"/>
                <w:szCs w:val="24"/>
              </w:rPr>
              <w:t>Nr. crt.</w:t>
            </w:r>
          </w:p>
        </w:tc>
        <w:tc>
          <w:tcPr>
            <w:tcW w:w="1238" w:type="pct"/>
            <w:tcBorders>
              <w:top w:val="single" w:sz="4" w:space="0" w:color="auto"/>
              <w:left w:val="single" w:sz="4" w:space="0" w:color="auto"/>
              <w:bottom w:val="single" w:sz="4" w:space="0" w:color="auto"/>
              <w:right w:val="single" w:sz="4" w:space="0" w:color="auto"/>
            </w:tcBorders>
          </w:tcPr>
          <w:p w14:paraId="2E0A8A9B" w14:textId="77777777" w:rsidR="00A64AA1" w:rsidRPr="00AD3643" w:rsidRDefault="00A64AA1" w:rsidP="00C95D06">
            <w:pPr>
              <w:pStyle w:val="Footer"/>
              <w:jc w:val="both"/>
              <w:rPr>
                <w:rFonts w:ascii="Times New Roman" w:hAnsi="Times New Roman" w:cs="Times New Roman"/>
                <w:b/>
                <w:bCs/>
                <w:sz w:val="24"/>
                <w:szCs w:val="24"/>
              </w:rPr>
            </w:pPr>
            <w:r w:rsidRPr="00AD3643">
              <w:rPr>
                <w:rFonts w:ascii="Times New Roman" w:hAnsi="Times New Roman" w:cs="Times New Roman"/>
                <w:b/>
                <w:bCs/>
                <w:sz w:val="24"/>
                <w:szCs w:val="24"/>
              </w:rPr>
              <w:t>Numărul ediției/ amendamentului</w:t>
            </w:r>
          </w:p>
        </w:tc>
        <w:tc>
          <w:tcPr>
            <w:tcW w:w="1045" w:type="pct"/>
            <w:tcBorders>
              <w:top w:val="single" w:sz="4" w:space="0" w:color="auto"/>
              <w:left w:val="single" w:sz="4" w:space="0" w:color="auto"/>
              <w:bottom w:val="single" w:sz="4" w:space="0" w:color="auto"/>
              <w:right w:val="single" w:sz="4" w:space="0" w:color="auto"/>
            </w:tcBorders>
          </w:tcPr>
          <w:p w14:paraId="65741D1F" w14:textId="77777777" w:rsidR="00A64AA1" w:rsidRPr="00AD3643" w:rsidRDefault="00A64AA1" w:rsidP="00C95D06">
            <w:pPr>
              <w:pStyle w:val="Footer"/>
              <w:jc w:val="both"/>
              <w:rPr>
                <w:rFonts w:ascii="Times New Roman" w:hAnsi="Times New Roman" w:cs="Times New Roman"/>
                <w:b/>
                <w:bCs/>
                <w:sz w:val="24"/>
                <w:szCs w:val="24"/>
                <w:lang w:val="it-IT"/>
              </w:rPr>
            </w:pPr>
            <w:r w:rsidRPr="00AD3643">
              <w:rPr>
                <w:rFonts w:ascii="Times New Roman" w:hAnsi="Times New Roman" w:cs="Times New Roman"/>
                <w:b/>
                <w:bCs/>
                <w:sz w:val="24"/>
                <w:szCs w:val="24"/>
                <w:lang w:val="it-IT"/>
              </w:rPr>
              <w:t>Data intrării în vigoare / Ordinul de aprobare</w:t>
            </w:r>
          </w:p>
        </w:tc>
        <w:tc>
          <w:tcPr>
            <w:tcW w:w="1508" w:type="pct"/>
            <w:tcBorders>
              <w:top w:val="single" w:sz="4" w:space="0" w:color="auto"/>
              <w:left w:val="single" w:sz="4" w:space="0" w:color="auto"/>
              <w:bottom w:val="single" w:sz="4" w:space="0" w:color="auto"/>
              <w:right w:val="single" w:sz="4" w:space="0" w:color="auto"/>
            </w:tcBorders>
          </w:tcPr>
          <w:p w14:paraId="328E0CAC" w14:textId="77777777" w:rsidR="00A64AA1" w:rsidRPr="00AD3643" w:rsidRDefault="00A64AA1" w:rsidP="00C95D06">
            <w:pPr>
              <w:pStyle w:val="Footer"/>
              <w:jc w:val="both"/>
              <w:rPr>
                <w:rFonts w:ascii="Times New Roman" w:hAnsi="Times New Roman" w:cs="Times New Roman"/>
                <w:b/>
                <w:bCs/>
                <w:sz w:val="24"/>
                <w:szCs w:val="24"/>
                <w:lang w:val="pt-BR"/>
              </w:rPr>
            </w:pPr>
            <w:r w:rsidRPr="00AD3643">
              <w:rPr>
                <w:rFonts w:ascii="Times New Roman" w:hAnsi="Times New Roman" w:cs="Times New Roman"/>
                <w:b/>
                <w:bCs/>
                <w:sz w:val="24"/>
                <w:szCs w:val="24"/>
                <w:lang w:val="pt-BR"/>
              </w:rPr>
              <w:t>Numele persoanei care a introdus amendamentul</w:t>
            </w:r>
          </w:p>
        </w:tc>
        <w:tc>
          <w:tcPr>
            <w:tcW w:w="877" w:type="pct"/>
            <w:tcBorders>
              <w:top w:val="single" w:sz="4" w:space="0" w:color="auto"/>
              <w:left w:val="single" w:sz="4" w:space="0" w:color="auto"/>
              <w:bottom w:val="single" w:sz="4" w:space="0" w:color="auto"/>
              <w:right w:val="single" w:sz="4" w:space="0" w:color="auto"/>
            </w:tcBorders>
            <w:vAlign w:val="center"/>
          </w:tcPr>
          <w:p w14:paraId="0E88F73B" w14:textId="77777777" w:rsidR="00A64AA1" w:rsidRPr="00AD3643" w:rsidRDefault="00A64AA1" w:rsidP="00C95D06">
            <w:pPr>
              <w:pStyle w:val="Footer"/>
              <w:jc w:val="both"/>
              <w:rPr>
                <w:rFonts w:ascii="Times New Roman" w:hAnsi="Times New Roman" w:cs="Times New Roman"/>
                <w:b/>
                <w:bCs/>
                <w:sz w:val="24"/>
                <w:szCs w:val="24"/>
              </w:rPr>
            </w:pPr>
            <w:r w:rsidRPr="00AD3643">
              <w:rPr>
                <w:rFonts w:ascii="Times New Roman" w:hAnsi="Times New Roman" w:cs="Times New Roman"/>
                <w:b/>
                <w:bCs/>
                <w:sz w:val="24"/>
                <w:szCs w:val="24"/>
              </w:rPr>
              <w:t>Semnătura</w:t>
            </w:r>
          </w:p>
        </w:tc>
      </w:tr>
      <w:tr w:rsidR="00A64AA1" w:rsidRPr="00AD3643" w14:paraId="7445725E" w14:textId="77777777" w:rsidTr="00892E1E">
        <w:trPr>
          <w:trHeight w:hRule="exact" w:val="662"/>
        </w:trPr>
        <w:tc>
          <w:tcPr>
            <w:tcW w:w="332" w:type="pct"/>
            <w:tcBorders>
              <w:top w:val="single" w:sz="4" w:space="0" w:color="auto"/>
              <w:left w:val="single" w:sz="4" w:space="0" w:color="auto"/>
              <w:bottom w:val="single" w:sz="4" w:space="0" w:color="auto"/>
              <w:right w:val="single" w:sz="4" w:space="0" w:color="auto"/>
            </w:tcBorders>
            <w:vAlign w:val="center"/>
          </w:tcPr>
          <w:p w14:paraId="77E4D079" w14:textId="28747C7A" w:rsidR="00A64AA1" w:rsidRPr="00892E1E" w:rsidRDefault="00A64AA1" w:rsidP="00892E1E">
            <w:pPr>
              <w:pStyle w:val="Footer"/>
              <w:jc w:val="center"/>
              <w:rPr>
                <w:rFonts w:ascii="Times New Roman" w:hAnsi="Times New Roman" w:cs="Times New Roman"/>
                <w:b/>
                <w:sz w:val="24"/>
                <w:szCs w:val="24"/>
                <w:lang w:val="en-US"/>
              </w:rPr>
            </w:pPr>
            <w:r w:rsidRPr="00892E1E">
              <w:rPr>
                <w:rFonts w:ascii="Times New Roman" w:hAnsi="Times New Roman" w:cs="Times New Roman"/>
                <w:b/>
                <w:sz w:val="24"/>
                <w:szCs w:val="24"/>
              </w:rPr>
              <w:t>1</w:t>
            </w:r>
            <w:r w:rsidR="00892E1E" w:rsidRPr="00892E1E">
              <w:rPr>
                <w:rFonts w:ascii="Times New Roman" w:hAnsi="Times New Roman" w:cs="Times New Roman"/>
                <w:b/>
                <w:sz w:val="24"/>
                <w:szCs w:val="24"/>
                <w:lang w:val="en-US"/>
              </w:rPr>
              <w:t>.</w:t>
            </w:r>
          </w:p>
        </w:tc>
        <w:tc>
          <w:tcPr>
            <w:tcW w:w="1238" w:type="pct"/>
            <w:tcBorders>
              <w:top w:val="single" w:sz="4" w:space="0" w:color="auto"/>
              <w:left w:val="single" w:sz="4" w:space="0" w:color="auto"/>
              <w:bottom w:val="single" w:sz="4" w:space="0" w:color="auto"/>
              <w:right w:val="single" w:sz="4" w:space="0" w:color="auto"/>
            </w:tcBorders>
            <w:vAlign w:val="center"/>
          </w:tcPr>
          <w:p w14:paraId="201EB36F" w14:textId="77777777" w:rsidR="00A64AA1" w:rsidRPr="00AD3643" w:rsidRDefault="00A64AA1" w:rsidP="00C95D06">
            <w:pPr>
              <w:pStyle w:val="Footer"/>
              <w:jc w:val="both"/>
              <w:rPr>
                <w:rFonts w:ascii="Times New Roman" w:hAnsi="Times New Roman" w:cs="Times New Roman"/>
                <w:bCs/>
                <w:sz w:val="24"/>
                <w:szCs w:val="24"/>
              </w:rPr>
            </w:pPr>
            <w:r w:rsidRPr="00AD3643">
              <w:rPr>
                <w:rFonts w:ascii="Times New Roman" w:hAnsi="Times New Roman" w:cs="Times New Roman"/>
                <w:bCs/>
                <w:sz w:val="24"/>
                <w:szCs w:val="24"/>
              </w:rPr>
              <w:t>Ediția 01</w:t>
            </w:r>
          </w:p>
        </w:tc>
        <w:tc>
          <w:tcPr>
            <w:tcW w:w="1045" w:type="pct"/>
            <w:tcBorders>
              <w:top w:val="single" w:sz="4" w:space="0" w:color="auto"/>
              <w:left w:val="single" w:sz="4" w:space="0" w:color="auto"/>
              <w:bottom w:val="single" w:sz="4" w:space="0" w:color="auto"/>
              <w:right w:val="single" w:sz="4" w:space="0" w:color="auto"/>
            </w:tcBorders>
            <w:vAlign w:val="center"/>
          </w:tcPr>
          <w:p w14:paraId="43BABC35" w14:textId="3DAF2850" w:rsidR="00A64AA1" w:rsidRPr="00AD3643" w:rsidRDefault="00A64AA1" w:rsidP="00C95D06">
            <w:pPr>
              <w:pStyle w:val="Footer"/>
              <w:jc w:val="both"/>
              <w:rPr>
                <w:rFonts w:ascii="Times New Roman" w:hAnsi="Times New Roman" w:cs="Times New Roman"/>
                <w:bCs/>
                <w:sz w:val="24"/>
                <w:szCs w:val="24"/>
              </w:rPr>
            </w:pPr>
          </w:p>
        </w:tc>
        <w:tc>
          <w:tcPr>
            <w:tcW w:w="1508" w:type="pct"/>
            <w:tcBorders>
              <w:top w:val="single" w:sz="4" w:space="0" w:color="auto"/>
              <w:left w:val="single" w:sz="4" w:space="0" w:color="auto"/>
              <w:bottom w:val="single" w:sz="4" w:space="0" w:color="auto"/>
              <w:right w:val="single" w:sz="4" w:space="0" w:color="auto"/>
            </w:tcBorders>
            <w:vAlign w:val="center"/>
          </w:tcPr>
          <w:p w14:paraId="6DD311D8" w14:textId="77777777" w:rsidR="00A64AA1" w:rsidRPr="00AD3643" w:rsidRDefault="00A64AA1" w:rsidP="00C95D06">
            <w:pPr>
              <w:pStyle w:val="Footer"/>
              <w:jc w:val="both"/>
              <w:rPr>
                <w:rFonts w:ascii="Times New Roman" w:hAnsi="Times New Roman" w:cs="Times New Roman"/>
                <w:bCs/>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tcPr>
          <w:p w14:paraId="55608E71" w14:textId="77777777" w:rsidR="00A64AA1" w:rsidRPr="00AD3643" w:rsidRDefault="00A64AA1" w:rsidP="00C95D06">
            <w:pPr>
              <w:pStyle w:val="Footer"/>
              <w:jc w:val="both"/>
              <w:rPr>
                <w:rFonts w:ascii="Times New Roman" w:hAnsi="Times New Roman" w:cs="Times New Roman"/>
                <w:bCs/>
                <w:sz w:val="24"/>
                <w:szCs w:val="24"/>
              </w:rPr>
            </w:pPr>
          </w:p>
        </w:tc>
      </w:tr>
      <w:tr w:rsidR="00A64AA1" w:rsidRPr="00AD3643" w14:paraId="6E7B6368" w14:textId="77777777" w:rsidTr="00892E1E">
        <w:trPr>
          <w:trHeight w:hRule="exact" w:val="572"/>
        </w:trPr>
        <w:tc>
          <w:tcPr>
            <w:tcW w:w="332" w:type="pct"/>
            <w:tcBorders>
              <w:top w:val="single" w:sz="4" w:space="0" w:color="auto"/>
              <w:left w:val="single" w:sz="4" w:space="0" w:color="auto"/>
              <w:bottom w:val="single" w:sz="4" w:space="0" w:color="auto"/>
              <w:right w:val="single" w:sz="4" w:space="0" w:color="auto"/>
            </w:tcBorders>
            <w:vAlign w:val="center"/>
          </w:tcPr>
          <w:p w14:paraId="274180E1" w14:textId="77777777" w:rsidR="00A64AA1" w:rsidRPr="00AD3643" w:rsidRDefault="00A64AA1" w:rsidP="00C95D06">
            <w:pPr>
              <w:pStyle w:val="Footer"/>
              <w:jc w:val="both"/>
              <w:rPr>
                <w:rFonts w:ascii="Times New Roman" w:hAnsi="Times New Roman" w:cs="Times New Roman"/>
                <w:bCs/>
                <w:sz w:val="24"/>
                <w:szCs w:val="24"/>
              </w:rPr>
            </w:pPr>
          </w:p>
        </w:tc>
        <w:tc>
          <w:tcPr>
            <w:tcW w:w="1238" w:type="pct"/>
            <w:tcBorders>
              <w:top w:val="single" w:sz="4" w:space="0" w:color="auto"/>
              <w:left w:val="single" w:sz="4" w:space="0" w:color="auto"/>
              <w:bottom w:val="single" w:sz="4" w:space="0" w:color="auto"/>
              <w:right w:val="single" w:sz="4" w:space="0" w:color="auto"/>
            </w:tcBorders>
            <w:vAlign w:val="center"/>
          </w:tcPr>
          <w:p w14:paraId="16F9ED9D" w14:textId="77777777" w:rsidR="00A64AA1" w:rsidRPr="00AD3643" w:rsidRDefault="00A64AA1" w:rsidP="00C95D06">
            <w:pPr>
              <w:pStyle w:val="Footer"/>
              <w:jc w:val="both"/>
              <w:rPr>
                <w:rFonts w:ascii="Times New Roman" w:hAnsi="Times New Roman" w:cs="Times New Roman"/>
                <w:bCs/>
                <w:sz w:val="24"/>
                <w:szCs w:val="24"/>
              </w:rPr>
            </w:pPr>
          </w:p>
        </w:tc>
        <w:tc>
          <w:tcPr>
            <w:tcW w:w="1045" w:type="pct"/>
            <w:tcBorders>
              <w:top w:val="single" w:sz="4" w:space="0" w:color="auto"/>
              <w:left w:val="single" w:sz="4" w:space="0" w:color="auto"/>
              <w:bottom w:val="single" w:sz="4" w:space="0" w:color="auto"/>
              <w:right w:val="single" w:sz="4" w:space="0" w:color="auto"/>
            </w:tcBorders>
            <w:vAlign w:val="center"/>
          </w:tcPr>
          <w:p w14:paraId="0D1D6A84" w14:textId="77777777" w:rsidR="00A64AA1" w:rsidRPr="00AD3643" w:rsidRDefault="00A64AA1" w:rsidP="00C95D06">
            <w:pPr>
              <w:pStyle w:val="Footer"/>
              <w:jc w:val="both"/>
              <w:rPr>
                <w:rFonts w:ascii="Times New Roman" w:hAnsi="Times New Roman" w:cs="Times New Roman"/>
                <w:bCs/>
                <w:sz w:val="24"/>
                <w:szCs w:val="24"/>
              </w:rPr>
            </w:pPr>
          </w:p>
        </w:tc>
        <w:tc>
          <w:tcPr>
            <w:tcW w:w="1508" w:type="pct"/>
            <w:tcBorders>
              <w:top w:val="single" w:sz="4" w:space="0" w:color="auto"/>
              <w:left w:val="single" w:sz="4" w:space="0" w:color="auto"/>
              <w:bottom w:val="single" w:sz="4" w:space="0" w:color="auto"/>
              <w:right w:val="single" w:sz="4" w:space="0" w:color="auto"/>
            </w:tcBorders>
            <w:vAlign w:val="center"/>
          </w:tcPr>
          <w:p w14:paraId="3C8C128F" w14:textId="77777777" w:rsidR="00A64AA1" w:rsidRPr="00AD3643" w:rsidRDefault="00A64AA1" w:rsidP="00C95D06">
            <w:pPr>
              <w:pStyle w:val="Footer"/>
              <w:jc w:val="both"/>
              <w:rPr>
                <w:rFonts w:ascii="Times New Roman" w:hAnsi="Times New Roman" w:cs="Times New Roman"/>
                <w:bCs/>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tcPr>
          <w:p w14:paraId="64B0D229" w14:textId="77777777" w:rsidR="00A64AA1" w:rsidRPr="00AD3643" w:rsidRDefault="00A64AA1" w:rsidP="00C95D06">
            <w:pPr>
              <w:pStyle w:val="Footer"/>
              <w:jc w:val="both"/>
              <w:rPr>
                <w:rFonts w:ascii="Times New Roman" w:hAnsi="Times New Roman" w:cs="Times New Roman"/>
                <w:bCs/>
                <w:sz w:val="24"/>
                <w:szCs w:val="24"/>
              </w:rPr>
            </w:pPr>
          </w:p>
        </w:tc>
      </w:tr>
      <w:tr w:rsidR="00A64AA1" w:rsidRPr="00AD3643" w14:paraId="70BEC854" w14:textId="77777777" w:rsidTr="00892E1E">
        <w:trPr>
          <w:trHeight w:hRule="exact" w:val="432"/>
        </w:trPr>
        <w:tc>
          <w:tcPr>
            <w:tcW w:w="332" w:type="pct"/>
            <w:tcBorders>
              <w:top w:val="single" w:sz="4" w:space="0" w:color="auto"/>
              <w:left w:val="single" w:sz="4" w:space="0" w:color="auto"/>
              <w:bottom w:val="single" w:sz="4" w:space="0" w:color="auto"/>
              <w:right w:val="single" w:sz="4" w:space="0" w:color="auto"/>
            </w:tcBorders>
            <w:vAlign w:val="center"/>
          </w:tcPr>
          <w:p w14:paraId="0EA177EF" w14:textId="77777777" w:rsidR="00A64AA1" w:rsidRPr="00AD3643" w:rsidRDefault="00A64AA1" w:rsidP="00C95D06">
            <w:pPr>
              <w:pStyle w:val="Footer"/>
              <w:jc w:val="both"/>
              <w:rPr>
                <w:rFonts w:ascii="Times New Roman" w:hAnsi="Times New Roman" w:cs="Times New Roman"/>
                <w:bCs/>
                <w:sz w:val="24"/>
                <w:szCs w:val="24"/>
              </w:rPr>
            </w:pPr>
          </w:p>
        </w:tc>
        <w:tc>
          <w:tcPr>
            <w:tcW w:w="1238" w:type="pct"/>
            <w:tcBorders>
              <w:top w:val="single" w:sz="4" w:space="0" w:color="auto"/>
              <w:left w:val="single" w:sz="4" w:space="0" w:color="auto"/>
              <w:bottom w:val="single" w:sz="4" w:space="0" w:color="auto"/>
              <w:right w:val="single" w:sz="4" w:space="0" w:color="auto"/>
            </w:tcBorders>
            <w:vAlign w:val="center"/>
          </w:tcPr>
          <w:p w14:paraId="6382B5B5" w14:textId="77777777" w:rsidR="00A64AA1" w:rsidRPr="00AD3643" w:rsidRDefault="00A64AA1" w:rsidP="00C95D06">
            <w:pPr>
              <w:pStyle w:val="Footer"/>
              <w:jc w:val="both"/>
              <w:rPr>
                <w:rFonts w:ascii="Times New Roman" w:hAnsi="Times New Roman" w:cs="Times New Roman"/>
                <w:bCs/>
                <w:sz w:val="24"/>
                <w:szCs w:val="24"/>
              </w:rPr>
            </w:pPr>
          </w:p>
        </w:tc>
        <w:tc>
          <w:tcPr>
            <w:tcW w:w="1045" w:type="pct"/>
            <w:tcBorders>
              <w:top w:val="single" w:sz="4" w:space="0" w:color="auto"/>
              <w:left w:val="single" w:sz="4" w:space="0" w:color="auto"/>
              <w:bottom w:val="single" w:sz="4" w:space="0" w:color="auto"/>
              <w:right w:val="single" w:sz="4" w:space="0" w:color="auto"/>
            </w:tcBorders>
            <w:vAlign w:val="center"/>
          </w:tcPr>
          <w:p w14:paraId="2881CF33" w14:textId="77777777" w:rsidR="00A64AA1" w:rsidRPr="00AD3643" w:rsidRDefault="00A64AA1" w:rsidP="00C95D06">
            <w:pPr>
              <w:pStyle w:val="Footer"/>
              <w:jc w:val="both"/>
              <w:rPr>
                <w:rFonts w:ascii="Times New Roman" w:hAnsi="Times New Roman" w:cs="Times New Roman"/>
                <w:bCs/>
                <w:sz w:val="24"/>
                <w:szCs w:val="24"/>
              </w:rPr>
            </w:pPr>
          </w:p>
        </w:tc>
        <w:tc>
          <w:tcPr>
            <w:tcW w:w="1508" w:type="pct"/>
            <w:tcBorders>
              <w:top w:val="single" w:sz="4" w:space="0" w:color="auto"/>
              <w:left w:val="single" w:sz="4" w:space="0" w:color="auto"/>
              <w:bottom w:val="single" w:sz="4" w:space="0" w:color="auto"/>
              <w:right w:val="single" w:sz="4" w:space="0" w:color="auto"/>
            </w:tcBorders>
            <w:vAlign w:val="center"/>
          </w:tcPr>
          <w:p w14:paraId="16F6A754" w14:textId="77777777" w:rsidR="00A64AA1" w:rsidRPr="00AD3643" w:rsidRDefault="00A64AA1" w:rsidP="00C95D06">
            <w:pPr>
              <w:pStyle w:val="Footer"/>
              <w:jc w:val="both"/>
              <w:rPr>
                <w:rFonts w:ascii="Times New Roman" w:hAnsi="Times New Roman" w:cs="Times New Roman"/>
                <w:bCs/>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tcPr>
          <w:p w14:paraId="0F7E0627" w14:textId="77777777" w:rsidR="00A64AA1" w:rsidRPr="00AD3643" w:rsidRDefault="00A64AA1" w:rsidP="00C95D06">
            <w:pPr>
              <w:pStyle w:val="Footer"/>
              <w:jc w:val="both"/>
              <w:rPr>
                <w:rFonts w:ascii="Times New Roman" w:hAnsi="Times New Roman" w:cs="Times New Roman"/>
                <w:bCs/>
                <w:sz w:val="24"/>
                <w:szCs w:val="24"/>
              </w:rPr>
            </w:pPr>
          </w:p>
        </w:tc>
      </w:tr>
      <w:tr w:rsidR="00A64AA1" w:rsidRPr="00AD3643" w14:paraId="5D27065E" w14:textId="77777777" w:rsidTr="00892E1E">
        <w:trPr>
          <w:trHeight w:hRule="exact" w:val="432"/>
        </w:trPr>
        <w:tc>
          <w:tcPr>
            <w:tcW w:w="332" w:type="pct"/>
            <w:tcBorders>
              <w:top w:val="single" w:sz="4" w:space="0" w:color="auto"/>
              <w:left w:val="single" w:sz="4" w:space="0" w:color="auto"/>
              <w:bottom w:val="single" w:sz="4" w:space="0" w:color="auto"/>
              <w:right w:val="single" w:sz="4" w:space="0" w:color="auto"/>
            </w:tcBorders>
            <w:vAlign w:val="center"/>
          </w:tcPr>
          <w:p w14:paraId="62182743" w14:textId="77777777" w:rsidR="00A64AA1" w:rsidRPr="00AD3643" w:rsidRDefault="00A64AA1" w:rsidP="00C95D06">
            <w:pPr>
              <w:pStyle w:val="Footer"/>
              <w:jc w:val="both"/>
              <w:rPr>
                <w:rFonts w:ascii="Times New Roman" w:hAnsi="Times New Roman" w:cs="Times New Roman"/>
                <w:bCs/>
                <w:sz w:val="24"/>
                <w:szCs w:val="24"/>
              </w:rPr>
            </w:pPr>
          </w:p>
        </w:tc>
        <w:tc>
          <w:tcPr>
            <w:tcW w:w="1238" w:type="pct"/>
            <w:tcBorders>
              <w:top w:val="single" w:sz="4" w:space="0" w:color="auto"/>
              <w:left w:val="single" w:sz="4" w:space="0" w:color="auto"/>
              <w:bottom w:val="single" w:sz="4" w:space="0" w:color="auto"/>
              <w:right w:val="single" w:sz="4" w:space="0" w:color="auto"/>
            </w:tcBorders>
            <w:vAlign w:val="center"/>
          </w:tcPr>
          <w:p w14:paraId="53A73325" w14:textId="77777777" w:rsidR="00A64AA1" w:rsidRPr="00AD3643" w:rsidRDefault="00A64AA1" w:rsidP="00C95D06">
            <w:pPr>
              <w:pStyle w:val="Footer"/>
              <w:jc w:val="both"/>
              <w:rPr>
                <w:rFonts w:ascii="Times New Roman" w:hAnsi="Times New Roman" w:cs="Times New Roman"/>
                <w:bCs/>
                <w:sz w:val="24"/>
                <w:szCs w:val="24"/>
              </w:rPr>
            </w:pPr>
          </w:p>
        </w:tc>
        <w:tc>
          <w:tcPr>
            <w:tcW w:w="1045" w:type="pct"/>
            <w:tcBorders>
              <w:top w:val="single" w:sz="4" w:space="0" w:color="auto"/>
              <w:left w:val="single" w:sz="4" w:space="0" w:color="auto"/>
              <w:bottom w:val="single" w:sz="4" w:space="0" w:color="auto"/>
              <w:right w:val="single" w:sz="4" w:space="0" w:color="auto"/>
            </w:tcBorders>
            <w:vAlign w:val="center"/>
          </w:tcPr>
          <w:p w14:paraId="5061EB4E" w14:textId="77777777" w:rsidR="00A64AA1" w:rsidRPr="00AD3643" w:rsidRDefault="00A64AA1" w:rsidP="00C95D06">
            <w:pPr>
              <w:pStyle w:val="Footer"/>
              <w:jc w:val="both"/>
              <w:rPr>
                <w:rFonts w:ascii="Times New Roman" w:hAnsi="Times New Roman" w:cs="Times New Roman"/>
                <w:bCs/>
                <w:sz w:val="24"/>
                <w:szCs w:val="24"/>
              </w:rPr>
            </w:pPr>
          </w:p>
        </w:tc>
        <w:tc>
          <w:tcPr>
            <w:tcW w:w="1508" w:type="pct"/>
            <w:tcBorders>
              <w:top w:val="single" w:sz="4" w:space="0" w:color="auto"/>
              <w:left w:val="single" w:sz="4" w:space="0" w:color="auto"/>
              <w:bottom w:val="single" w:sz="4" w:space="0" w:color="auto"/>
              <w:right w:val="single" w:sz="4" w:space="0" w:color="auto"/>
            </w:tcBorders>
            <w:vAlign w:val="center"/>
          </w:tcPr>
          <w:p w14:paraId="578CF982" w14:textId="77777777" w:rsidR="00A64AA1" w:rsidRPr="00AD3643" w:rsidRDefault="00A64AA1" w:rsidP="00C95D06">
            <w:pPr>
              <w:pStyle w:val="Footer"/>
              <w:jc w:val="both"/>
              <w:rPr>
                <w:rFonts w:ascii="Times New Roman" w:hAnsi="Times New Roman" w:cs="Times New Roman"/>
                <w:bCs/>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tcPr>
          <w:p w14:paraId="564CD8D3" w14:textId="77777777" w:rsidR="00A64AA1" w:rsidRPr="00AD3643" w:rsidRDefault="00A64AA1" w:rsidP="00C95D06">
            <w:pPr>
              <w:pStyle w:val="Footer"/>
              <w:jc w:val="both"/>
              <w:rPr>
                <w:rFonts w:ascii="Times New Roman" w:hAnsi="Times New Roman" w:cs="Times New Roman"/>
                <w:bCs/>
                <w:sz w:val="24"/>
                <w:szCs w:val="24"/>
              </w:rPr>
            </w:pPr>
          </w:p>
        </w:tc>
      </w:tr>
      <w:tr w:rsidR="00A64AA1" w:rsidRPr="00AD3643" w14:paraId="252AF186" w14:textId="77777777" w:rsidTr="00892E1E">
        <w:trPr>
          <w:trHeight w:hRule="exact" w:val="432"/>
        </w:trPr>
        <w:tc>
          <w:tcPr>
            <w:tcW w:w="332" w:type="pct"/>
            <w:tcBorders>
              <w:top w:val="single" w:sz="4" w:space="0" w:color="auto"/>
              <w:left w:val="single" w:sz="4" w:space="0" w:color="auto"/>
              <w:bottom w:val="single" w:sz="4" w:space="0" w:color="auto"/>
              <w:right w:val="single" w:sz="4" w:space="0" w:color="auto"/>
            </w:tcBorders>
            <w:vAlign w:val="center"/>
          </w:tcPr>
          <w:p w14:paraId="3D2C3DAF" w14:textId="77777777" w:rsidR="00A64AA1" w:rsidRPr="00AD3643" w:rsidRDefault="00A64AA1" w:rsidP="00C95D06">
            <w:pPr>
              <w:pStyle w:val="Footer"/>
              <w:jc w:val="both"/>
              <w:rPr>
                <w:rFonts w:ascii="Times New Roman" w:hAnsi="Times New Roman" w:cs="Times New Roman"/>
                <w:bCs/>
                <w:sz w:val="24"/>
                <w:szCs w:val="24"/>
              </w:rPr>
            </w:pPr>
          </w:p>
        </w:tc>
        <w:tc>
          <w:tcPr>
            <w:tcW w:w="1238" w:type="pct"/>
            <w:tcBorders>
              <w:top w:val="single" w:sz="4" w:space="0" w:color="auto"/>
              <w:left w:val="single" w:sz="4" w:space="0" w:color="auto"/>
              <w:bottom w:val="single" w:sz="4" w:space="0" w:color="auto"/>
              <w:right w:val="single" w:sz="4" w:space="0" w:color="auto"/>
            </w:tcBorders>
            <w:vAlign w:val="center"/>
          </w:tcPr>
          <w:p w14:paraId="65472DE0" w14:textId="77777777" w:rsidR="00A64AA1" w:rsidRPr="00AD3643" w:rsidRDefault="00A64AA1" w:rsidP="00C95D06">
            <w:pPr>
              <w:pStyle w:val="Footer"/>
              <w:jc w:val="both"/>
              <w:rPr>
                <w:rFonts w:ascii="Times New Roman" w:hAnsi="Times New Roman" w:cs="Times New Roman"/>
                <w:bCs/>
                <w:sz w:val="24"/>
                <w:szCs w:val="24"/>
              </w:rPr>
            </w:pPr>
          </w:p>
        </w:tc>
        <w:tc>
          <w:tcPr>
            <w:tcW w:w="1045" w:type="pct"/>
            <w:tcBorders>
              <w:top w:val="single" w:sz="4" w:space="0" w:color="auto"/>
              <w:left w:val="single" w:sz="4" w:space="0" w:color="auto"/>
              <w:bottom w:val="single" w:sz="4" w:space="0" w:color="auto"/>
              <w:right w:val="single" w:sz="4" w:space="0" w:color="auto"/>
            </w:tcBorders>
            <w:vAlign w:val="center"/>
          </w:tcPr>
          <w:p w14:paraId="76B7D944" w14:textId="77777777" w:rsidR="00A64AA1" w:rsidRPr="00AD3643" w:rsidRDefault="00A64AA1" w:rsidP="00C95D06">
            <w:pPr>
              <w:pStyle w:val="Footer"/>
              <w:jc w:val="both"/>
              <w:rPr>
                <w:rFonts w:ascii="Times New Roman" w:hAnsi="Times New Roman" w:cs="Times New Roman"/>
                <w:bCs/>
                <w:sz w:val="24"/>
                <w:szCs w:val="24"/>
              </w:rPr>
            </w:pPr>
          </w:p>
        </w:tc>
        <w:tc>
          <w:tcPr>
            <w:tcW w:w="1508" w:type="pct"/>
            <w:tcBorders>
              <w:top w:val="single" w:sz="4" w:space="0" w:color="auto"/>
              <w:left w:val="single" w:sz="4" w:space="0" w:color="auto"/>
              <w:bottom w:val="single" w:sz="4" w:space="0" w:color="auto"/>
              <w:right w:val="single" w:sz="4" w:space="0" w:color="auto"/>
            </w:tcBorders>
            <w:vAlign w:val="center"/>
          </w:tcPr>
          <w:p w14:paraId="0616FF51" w14:textId="77777777" w:rsidR="00A64AA1" w:rsidRPr="00AD3643" w:rsidRDefault="00A64AA1" w:rsidP="00C95D06">
            <w:pPr>
              <w:pStyle w:val="Footer"/>
              <w:jc w:val="both"/>
              <w:rPr>
                <w:rFonts w:ascii="Times New Roman" w:hAnsi="Times New Roman" w:cs="Times New Roman"/>
                <w:bCs/>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tcPr>
          <w:p w14:paraId="3B4D7269" w14:textId="77777777" w:rsidR="00A64AA1" w:rsidRPr="00AD3643" w:rsidRDefault="00A64AA1" w:rsidP="00C95D06">
            <w:pPr>
              <w:pStyle w:val="Footer"/>
              <w:jc w:val="both"/>
              <w:rPr>
                <w:rFonts w:ascii="Times New Roman" w:hAnsi="Times New Roman" w:cs="Times New Roman"/>
                <w:bCs/>
                <w:sz w:val="24"/>
                <w:szCs w:val="24"/>
              </w:rPr>
            </w:pPr>
          </w:p>
        </w:tc>
      </w:tr>
      <w:tr w:rsidR="00A64AA1" w:rsidRPr="00AD3643" w14:paraId="404FA9C9" w14:textId="77777777" w:rsidTr="00892E1E">
        <w:trPr>
          <w:trHeight w:hRule="exact" w:val="432"/>
        </w:trPr>
        <w:tc>
          <w:tcPr>
            <w:tcW w:w="332" w:type="pct"/>
            <w:tcBorders>
              <w:top w:val="single" w:sz="4" w:space="0" w:color="auto"/>
              <w:left w:val="single" w:sz="4" w:space="0" w:color="auto"/>
              <w:bottom w:val="single" w:sz="4" w:space="0" w:color="auto"/>
              <w:right w:val="single" w:sz="4" w:space="0" w:color="auto"/>
            </w:tcBorders>
            <w:vAlign w:val="center"/>
          </w:tcPr>
          <w:p w14:paraId="7B80712D" w14:textId="77777777" w:rsidR="00A64AA1" w:rsidRPr="00AD3643" w:rsidRDefault="00A64AA1" w:rsidP="00C95D06">
            <w:pPr>
              <w:pStyle w:val="Footer"/>
              <w:jc w:val="both"/>
              <w:rPr>
                <w:rFonts w:ascii="Times New Roman" w:hAnsi="Times New Roman" w:cs="Times New Roman"/>
                <w:bCs/>
                <w:sz w:val="24"/>
                <w:szCs w:val="24"/>
              </w:rPr>
            </w:pPr>
          </w:p>
        </w:tc>
        <w:tc>
          <w:tcPr>
            <w:tcW w:w="1238" w:type="pct"/>
            <w:tcBorders>
              <w:top w:val="single" w:sz="4" w:space="0" w:color="auto"/>
              <w:left w:val="single" w:sz="4" w:space="0" w:color="auto"/>
              <w:bottom w:val="single" w:sz="4" w:space="0" w:color="auto"/>
              <w:right w:val="single" w:sz="4" w:space="0" w:color="auto"/>
            </w:tcBorders>
            <w:vAlign w:val="center"/>
          </w:tcPr>
          <w:p w14:paraId="0982C0D7" w14:textId="77777777" w:rsidR="00A64AA1" w:rsidRPr="00AD3643" w:rsidRDefault="00A64AA1" w:rsidP="00C95D06">
            <w:pPr>
              <w:spacing w:after="0"/>
              <w:jc w:val="both"/>
              <w:rPr>
                <w:rFonts w:ascii="Times New Roman" w:hAnsi="Times New Roman" w:cs="Times New Roman"/>
                <w:bCs/>
                <w:sz w:val="24"/>
                <w:szCs w:val="24"/>
              </w:rPr>
            </w:pPr>
          </w:p>
        </w:tc>
        <w:tc>
          <w:tcPr>
            <w:tcW w:w="1045" w:type="pct"/>
            <w:tcBorders>
              <w:top w:val="single" w:sz="4" w:space="0" w:color="auto"/>
              <w:left w:val="single" w:sz="4" w:space="0" w:color="auto"/>
              <w:bottom w:val="single" w:sz="4" w:space="0" w:color="auto"/>
              <w:right w:val="single" w:sz="4" w:space="0" w:color="auto"/>
            </w:tcBorders>
            <w:vAlign w:val="center"/>
          </w:tcPr>
          <w:p w14:paraId="782CA463" w14:textId="77777777" w:rsidR="00A64AA1" w:rsidRPr="00AD3643" w:rsidRDefault="00A64AA1" w:rsidP="00C95D06">
            <w:pPr>
              <w:pStyle w:val="Footer"/>
              <w:jc w:val="both"/>
              <w:rPr>
                <w:rFonts w:ascii="Times New Roman" w:hAnsi="Times New Roman" w:cs="Times New Roman"/>
                <w:bCs/>
                <w:sz w:val="24"/>
                <w:szCs w:val="24"/>
              </w:rPr>
            </w:pPr>
          </w:p>
        </w:tc>
        <w:tc>
          <w:tcPr>
            <w:tcW w:w="1508" w:type="pct"/>
            <w:tcBorders>
              <w:top w:val="single" w:sz="4" w:space="0" w:color="auto"/>
              <w:left w:val="single" w:sz="4" w:space="0" w:color="auto"/>
              <w:bottom w:val="single" w:sz="4" w:space="0" w:color="auto"/>
              <w:right w:val="single" w:sz="4" w:space="0" w:color="auto"/>
            </w:tcBorders>
            <w:vAlign w:val="center"/>
          </w:tcPr>
          <w:p w14:paraId="63AB5137" w14:textId="77777777" w:rsidR="00A64AA1" w:rsidRPr="00AD3643" w:rsidRDefault="00A64AA1" w:rsidP="00C95D06">
            <w:pPr>
              <w:pStyle w:val="Footer"/>
              <w:jc w:val="both"/>
              <w:rPr>
                <w:rFonts w:ascii="Times New Roman" w:hAnsi="Times New Roman" w:cs="Times New Roman"/>
                <w:bCs/>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tcPr>
          <w:p w14:paraId="3E579082" w14:textId="77777777" w:rsidR="00A64AA1" w:rsidRPr="00AD3643" w:rsidRDefault="00A64AA1" w:rsidP="00C95D06">
            <w:pPr>
              <w:pStyle w:val="Footer"/>
              <w:jc w:val="both"/>
              <w:rPr>
                <w:rFonts w:ascii="Times New Roman" w:hAnsi="Times New Roman" w:cs="Times New Roman"/>
                <w:bCs/>
                <w:sz w:val="24"/>
                <w:szCs w:val="24"/>
              </w:rPr>
            </w:pPr>
          </w:p>
        </w:tc>
      </w:tr>
      <w:tr w:rsidR="00A64AA1" w:rsidRPr="00AD3643" w14:paraId="41AE0061" w14:textId="77777777" w:rsidTr="00892E1E">
        <w:trPr>
          <w:trHeight w:hRule="exact" w:val="432"/>
        </w:trPr>
        <w:tc>
          <w:tcPr>
            <w:tcW w:w="332" w:type="pct"/>
            <w:tcBorders>
              <w:top w:val="single" w:sz="4" w:space="0" w:color="auto"/>
              <w:left w:val="single" w:sz="4" w:space="0" w:color="auto"/>
              <w:bottom w:val="single" w:sz="4" w:space="0" w:color="auto"/>
              <w:right w:val="single" w:sz="4" w:space="0" w:color="auto"/>
            </w:tcBorders>
            <w:vAlign w:val="center"/>
          </w:tcPr>
          <w:p w14:paraId="4B3166B3" w14:textId="77777777" w:rsidR="00A64AA1" w:rsidRPr="00AD3643" w:rsidRDefault="00A64AA1" w:rsidP="00C95D06">
            <w:pPr>
              <w:pStyle w:val="Footer"/>
              <w:jc w:val="both"/>
              <w:rPr>
                <w:rFonts w:ascii="Times New Roman" w:hAnsi="Times New Roman" w:cs="Times New Roman"/>
                <w:bCs/>
                <w:sz w:val="24"/>
                <w:szCs w:val="24"/>
              </w:rPr>
            </w:pPr>
          </w:p>
        </w:tc>
        <w:tc>
          <w:tcPr>
            <w:tcW w:w="1238" w:type="pct"/>
            <w:tcBorders>
              <w:top w:val="single" w:sz="4" w:space="0" w:color="auto"/>
              <w:left w:val="single" w:sz="4" w:space="0" w:color="auto"/>
              <w:bottom w:val="single" w:sz="4" w:space="0" w:color="auto"/>
              <w:right w:val="single" w:sz="4" w:space="0" w:color="auto"/>
            </w:tcBorders>
            <w:vAlign w:val="center"/>
          </w:tcPr>
          <w:p w14:paraId="413DC355" w14:textId="77777777" w:rsidR="00A64AA1" w:rsidRPr="00AD3643" w:rsidRDefault="00A64AA1" w:rsidP="00C95D06">
            <w:pPr>
              <w:pStyle w:val="Footer"/>
              <w:jc w:val="both"/>
              <w:rPr>
                <w:rFonts w:ascii="Times New Roman" w:hAnsi="Times New Roman" w:cs="Times New Roman"/>
                <w:bCs/>
                <w:sz w:val="24"/>
                <w:szCs w:val="24"/>
              </w:rPr>
            </w:pPr>
          </w:p>
        </w:tc>
        <w:tc>
          <w:tcPr>
            <w:tcW w:w="1045" w:type="pct"/>
            <w:tcBorders>
              <w:top w:val="single" w:sz="4" w:space="0" w:color="auto"/>
              <w:left w:val="single" w:sz="4" w:space="0" w:color="auto"/>
              <w:bottom w:val="single" w:sz="4" w:space="0" w:color="auto"/>
              <w:right w:val="single" w:sz="4" w:space="0" w:color="auto"/>
            </w:tcBorders>
            <w:vAlign w:val="center"/>
          </w:tcPr>
          <w:p w14:paraId="797B79B4" w14:textId="77777777" w:rsidR="00A64AA1" w:rsidRPr="00AD3643" w:rsidRDefault="00A64AA1" w:rsidP="00C95D06">
            <w:pPr>
              <w:pStyle w:val="Footer"/>
              <w:jc w:val="both"/>
              <w:rPr>
                <w:rFonts w:ascii="Times New Roman" w:hAnsi="Times New Roman" w:cs="Times New Roman"/>
                <w:bCs/>
                <w:sz w:val="24"/>
                <w:szCs w:val="24"/>
              </w:rPr>
            </w:pPr>
          </w:p>
        </w:tc>
        <w:tc>
          <w:tcPr>
            <w:tcW w:w="1508" w:type="pct"/>
            <w:tcBorders>
              <w:top w:val="single" w:sz="4" w:space="0" w:color="auto"/>
              <w:left w:val="single" w:sz="4" w:space="0" w:color="auto"/>
              <w:bottom w:val="single" w:sz="4" w:space="0" w:color="auto"/>
              <w:right w:val="single" w:sz="4" w:space="0" w:color="auto"/>
            </w:tcBorders>
            <w:vAlign w:val="center"/>
          </w:tcPr>
          <w:p w14:paraId="10F8E8D4" w14:textId="77777777" w:rsidR="00A64AA1" w:rsidRPr="00AD3643" w:rsidRDefault="00A64AA1" w:rsidP="00C95D06">
            <w:pPr>
              <w:pStyle w:val="Footer"/>
              <w:jc w:val="both"/>
              <w:rPr>
                <w:rFonts w:ascii="Times New Roman" w:hAnsi="Times New Roman" w:cs="Times New Roman"/>
                <w:bCs/>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tcPr>
          <w:p w14:paraId="3808B900" w14:textId="77777777" w:rsidR="00A64AA1" w:rsidRPr="00AD3643" w:rsidRDefault="00A64AA1" w:rsidP="00C95D06">
            <w:pPr>
              <w:pStyle w:val="Footer"/>
              <w:jc w:val="both"/>
              <w:rPr>
                <w:rFonts w:ascii="Times New Roman" w:hAnsi="Times New Roman" w:cs="Times New Roman"/>
                <w:bCs/>
                <w:sz w:val="24"/>
                <w:szCs w:val="24"/>
              </w:rPr>
            </w:pPr>
          </w:p>
        </w:tc>
      </w:tr>
    </w:tbl>
    <w:p w14:paraId="140733AB" w14:textId="77777777" w:rsidR="00A64AA1" w:rsidRPr="00AD3643" w:rsidRDefault="00A64AA1" w:rsidP="00C95D06">
      <w:pPr>
        <w:spacing w:after="0"/>
        <w:jc w:val="both"/>
        <w:rPr>
          <w:rFonts w:ascii="Times New Roman" w:eastAsia="Times New Roman" w:hAnsi="Times New Roman" w:cs="Times New Roman"/>
          <w:b/>
          <w:bCs/>
          <w:noProof w:val="0"/>
          <w:sz w:val="24"/>
          <w:szCs w:val="24"/>
          <w:lang w:val="en-GB"/>
        </w:rPr>
      </w:pPr>
    </w:p>
    <w:p w14:paraId="40F4C2A4" w14:textId="77777777" w:rsidR="00A64AA1" w:rsidRPr="00AD3643" w:rsidRDefault="00A64AA1" w:rsidP="00C95D06">
      <w:pPr>
        <w:spacing w:after="0"/>
        <w:jc w:val="both"/>
        <w:rPr>
          <w:rFonts w:ascii="Times New Roman" w:eastAsia="Times New Roman" w:hAnsi="Times New Roman" w:cs="Times New Roman"/>
          <w:b/>
          <w:bCs/>
          <w:noProof w:val="0"/>
          <w:sz w:val="24"/>
          <w:szCs w:val="24"/>
          <w:lang w:val="en-GB"/>
        </w:rPr>
      </w:pPr>
      <w:r w:rsidRPr="00AD3643">
        <w:rPr>
          <w:rFonts w:ascii="Times New Roman" w:eastAsia="Times New Roman" w:hAnsi="Times New Roman" w:cs="Times New Roman"/>
          <w:b/>
          <w:bCs/>
          <w:noProof w:val="0"/>
          <w:sz w:val="24"/>
          <w:szCs w:val="24"/>
          <w:lang w:val="en-GB"/>
        </w:rPr>
        <w:br w:type="page"/>
      </w:r>
    </w:p>
    <w:p w14:paraId="793702BD" w14:textId="74B771A6" w:rsidR="00A64AA1" w:rsidRPr="00AD3643" w:rsidRDefault="00A64AA1" w:rsidP="00C95D06">
      <w:pPr>
        <w:pStyle w:val="Heading1"/>
        <w:spacing w:after="0"/>
        <w:jc w:val="both"/>
        <w:rPr>
          <w:rFonts w:ascii="Times New Roman" w:hAnsi="Times New Roman" w:cs="Times New Roman"/>
          <w:sz w:val="24"/>
          <w:szCs w:val="24"/>
          <w:lang w:val="ro-RO"/>
        </w:rPr>
      </w:pPr>
      <w:bookmarkStart w:id="4" w:name="_Toc191547312"/>
      <w:bookmarkStart w:id="5" w:name="_Toc209450338"/>
      <w:bookmarkStart w:id="6" w:name="_Toc241066013"/>
      <w:r w:rsidRPr="00AD3643">
        <w:rPr>
          <w:rFonts w:ascii="Times New Roman" w:hAnsi="Times New Roman" w:cs="Times New Roman"/>
          <w:sz w:val="24"/>
          <w:szCs w:val="24"/>
          <w:lang w:val="ro-RO"/>
        </w:rPr>
        <w:lastRenderedPageBreak/>
        <w:t>REGULI  DE  AMENDARE</w:t>
      </w:r>
      <w:bookmarkEnd w:id="4"/>
      <w:bookmarkEnd w:id="5"/>
      <w:bookmarkEnd w:id="6"/>
    </w:p>
    <w:p w14:paraId="00CBD714" w14:textId="453CBDD4" w:rsidR="00DE3CB9" w:rsidRPr="00AD3643" w:rsidRDefault="00A64AA1" w:rsidP="00C95D06">
      <w:pPr>
        <w:numPr>
          <w:ilvl w:val="0"/>
          <w:numId w:val="1"/>
        </w:numPr>
        <w:tabs>
          <w:tab w:val="clear" w:pos="644"/>
        </w:tabs>
        <w:spacing w:after="0" w:line="240" w:lineRule="auto"/>
        <w:ind w:left="426" w:hanging="426"/>
        <w:jc w:val="both"/>
        <w:rPr>
          <w:rFonts w:ascii="Times New Roman" w:hAnsi="Times New Roman" w:cs="Times New Roman"/>
          <w:sz w:val="24"/>
          <w:szCs w:val="24"/>
          <w:lang w:val="ro-RO"/>
        </w:rPr>
      </w:pPr>
      <w:r w:rsidRPr="00AD3643">
        <w:rPr>
          <w:rFonts w:ascii="Times New Roman" w:hAnsi="Times New Roman" w:cs="Times New Roman"/>
          <w:sz w:val="24"/>
          <w:szCs w:val="24"/>
          <w:lang w:val="ro-RO"/>
        </w:rPr>
        <w:t xml:space="preserve">Modificarea prevederilor </w:t>
      </w:r>
      <w:r w:rsidR="00DE3CB9" w:rsidRPr="00AD3643">
        <w:rPr>
          <w:rFonts w:ascii="Times New Roman" w:hAnsi="Times New Roman" w:cs="Times New Roman"/>
          <w:sz w:val="24"/>
          <w:szCs w:val="24"/>
          <w:lang w:val="ro-RO"/>
        </w:rPr>
        <w:t xml:space="preserve">AMC&amp;GM-Partea </w:t>
      </w:r>
      <w:r w:rsidR="00036081">
        <w:rPr>
          <w:rFonts w:ascii="Times New Roman" w:hAnsi="Times New Roman" w:cs="Times New Roman"/>
          <w:sz w:val="24"/>
          <w:szCs w:val="24"/>
          <w:lang w:val="ro-RO"/>
        </w:rPr>
        <w:t>145</w:t>
      </w:r>
      <w:r w:rsidR="00DE3CB9" w:rsidRPr="00AD3643">
        <w:rPr>
          <w:rFonts w:ascii="Times New Roman" w:hAnsi="Times New Roman" w:cs="Times New Roman"/>
          <w:sz w:val="24"/>
          <w:szCs w:val="24"/>
          <w:lang w:val="ro-RO"/>
        </w:rPr>
        <w:t xml:space="preserve"> </w:t>
      </w:r>
      <w:r w:rsidRPr="00AD3643">
        <w:rPr>
          <w:rFonts w:ascii="Times New Roman" w:hAnsi="Times New Roman" w:cs="Times New Roman"/>
          <w:sz w:val="24"/>
          <w:szCs w:val="24"/>
          <w:lang w:val="ro-RO"/>
        </w:rPr>
        <w:t>se poate face numai prin amendament.</w:t>
      </w:r>
    </w:p>
    <w:p w14:paraId="0AC4D97A" w14:textId="77777777" w:rsidR="00126B51" w:rsidRPr="00AD3643" w:rsidRDefault="00126B51" w:rsidP="00C95D06">
      <w:pPr>
        <w:spacing w:after="0" w:line="240" w:lineRule="auto"/>
        <w:ind w:left="426"/>
        <w:jc w:val="both"/>
        <w:rPr>
          <w:rFonts w:ascii="Times New Roman" w:hAnsi="Times New Roman" w:cs="Times New Roman"/>
          <w:sz w:val="24"/>
          <w:szCs w:val="24"/>
          <w:lang w:val="ro-RO"/>
        </w:rPr>
      </w:pPr>
    </w:p>
    <w:p w14:paraId="0FDF3945" w14:textId="56522AE4" w:rsidR="00A64AA1" w:rsidRPr="00AD3643" w:rsidRDefault="00A64AA1" w:rsidP="00C95D06">
      <w:pPr>
        <w:numPr>
          <w:ilvl w:val="0"/>
          <w:numId w:val="1"/>
        </w:numPr>
        <w:tabs>
          <w:tab w:val="clear" w:pos="644"/>
        </w:tabs>
        <w:spacing w:after="0" w:line="240" w:lineRule="auto"/>
        <w:ind w:left="426" w:hanging="426"/>
        <w:jc w:val="both"/>
        <w:rPr>
          <w:rFonts w:ascii="Times New Roman" w:hAnsi="Times New Roman" w:cs="Times New Roman"/>
          <w:sz w:val="24"/>
          <w:szCs w:val="24"/>
          <w:lang w:val="ro-RO"/>
        </w:rPr>
      </w:pPr>
      <w:r w:rsidRPr="00AD3643">
        <w:rPr>
          <w:rFonts w:ascii="Times New Roman" w:hAnsi="Times New Roman" w:cs="Times New Roman"/>
          <w:sz w:val="24"/>
          <w:szCs w:val="24"/>
          <w:lang w:val="ro-RO"/>
        </w:rPr>
        <w:t>Amendamentul se aprobă prin ordinul general al Directorului Autorității Aeronautice Civile.</w:t>
      </w:r>
    </w:p>
    <w:p w14:paraId="3C045809" w14:textId="77777777" w:rsidR="00126B51" w:rsidRPr="00AD3643" w:rsidRDefault="00126B51" w:rsidP="00C95D06">
      <w:pPr>
        <w:spacing w:after="0" w:line="240" w:lineRule="auto"/>
        <w:ind w:left="426"/>
        <w:jc w:val="both"/>
        <w:rPr>
          <w:rFonts w:ascii="Times New Roman" w:hAnsi="Times New Roman" w:cs="Times New Roman"/>
          <w:sz w:val="24"/>
          <w:szCs w:val="24"/>
          <w:lang w:val="ro-RO"/>
        </w:rPr>
      </w:pPr>
    </w:p>
    <w:p w14:paraId="2674FEC4" w14:textId="3DDBEDF5" w:rsidR="00A64AA1" w:rsidRPr="00AD3643" w:rsidRDefault="00A64AA1" w:rsidP="00C95D06">
      <w:pPr>
        <w:numPr>
          <w:ilvl w:val="0"/>
          <w:numId w:val="1"/>
        </w:numPr>
        <w:tabs>
          <w:tab w:val="clear" w:pos="644"/>
        </w:tabs>
        <w:spacing w:after="0" w:line="240" w:lineRule="auto"/>
        <w:ind w:left="426" w:hanging="426"/>
        <w:jc w:val="both"/>
        <w:rPr>
          <w:rFonts w:ascii="Times New Roman" w:hAnsi="Times New Roman" w:cs="Times New Roman"/>
          <w:sz w:val="24"/>
          <w:szCs w:val="24"/>
          <w:lang w:val="ro-RO"/>
        </w:rPr>
      </w:pPr>
      <w:r w:rsidRPr="00AD3643">
        <w:rPr>
          <w:rFonts w:ascii="Times New Roman" w:hAnsi="Times New Roman" w:cs="Times New Roman"/>
          <w:sz w:val="24"/>
          <w:szCs w:val="24"/>
          <w:lang w:val="ro-RO"/>
        </w:rPr>
        <w:t xml:space="preserve">După aprobarea amendamentului și publicarea ordinului general în Monitorul Oficial al Republicii Moldova, fiecare deținător al </w:t>
      </w:r>
      <w:r w:rsidR="00AA1491" w:rsidRPr="00AD3643">
        <w:rPr>
          <w:rFonts w:ascii="Times New Roman" w:hAnsi="Times New Roman" w:cs="Times New Roman"/>
          <w:sz w:val="24"/>
          <w:szCs w:val="24"/>
          <w:lang w:val="ro-RO"/>
        </w:rPr>
        <w:t xml:space="preserve">AMC&amp;GM-Partea </w:t>
      </w:r>
      <w:r w:rsidR="00036081">
        <w:rPr>
          <w:rFonts w:ascii="Times New Roman" w:hAnsi="Times New Roman" w:cs="Times New Roman"/>
          <w:sz w:val="24"/>
          <w:szCs w:val="24"/>
          <w:lang w:val="ro-RO"/>
        </w:rPr>
        <w:t>145</w:t>
      </w:r>
      <w:r w:rsidRPr="00AD3643">
        <w:rPr>
          <w:rFonts w:ascii="Times New Roman" w:hAnsi="Times New Roman" w:cs="Times New Roman"/>
          <w:sz w:val="24"/>
          <w:szCs w:val="24"/>
          <w:lang w:val="ro-RO"/>
        </w:rPr>
        <w:t xml:space="preserve"> va introduce noile pagini emise şi va distruge paginile înlocuite.</w:t>
      </w:r>
    </w:p>
    <w:p w14:paraId="196043BD" w14:textId="77777777" w:rsidR="00126B51" w:rsidRPr="00AD3643" w:rsidRDefault="00126B51" w:rsidP="00C95D06">
      <w:pPr>
        <w:spacing w:after="0" w:line="240" w:lineRule="auto"/>
        <w:ind w:left="426"/>
        <w:jc w:val="both"/>
        <w:rPr>
          <w:rFonts w:ascii="Times New Roman" w:hAnsi="Times New Roman" w:cs="Times New Roman"/>
          <w:sz w:val="24"/>
          <w:szCs w:val="24"/>
          <w:lang w:val="ro-RO"/>
        </w:rPr>
      </w:pPr>
    </w:p>
    <w:p w14:paraId="715E7C45" w14:textId="13618312" w:rsidR="00A64AA1" w:rsidRPr="00AD3643" w:rsidRDefault="00A64AA1" w:rsidP="00C95D06">
      <w:pPr>
        <w:numPr>
          <w:ilvl w:val="0"/>
          <w:numId w:val="1"/>
        </w:numPr>
        <w:tabs>
          <w:tab w:val="clear" w:pos="644"/>
        </w:tabs>
        <w:spacing w:after="0" w:line="240" w:lineRule="auto"/>
        <w:ind w:left="426" w:hanging="426"/>
        <w:jc w:val="both"/>
        <w:rPr>
          <w:rFonts w:ascii="Times New Roman" w:hAnsi="Times New Roman" w:cs="Times New Roman"/>
          <w:sz w:val="24"/>
          <w:szCs w:val="24"/>
          <w:lang w:val="ro-RO"/>
        </w:rPr>
      </w:pPr>
      <w:r w:rsidRPr="00AD3643">
        <w:rPr>
          <w:rFonts w:ascii="Times New Roman" w:hAnsi="Times New Roman" w:cs="Times New Roman"/>
          <w:sz w:val="24"/>
          <w:szCs w:val="24"/>
          <w:lang w:val="ro-RO"/>
        </w:rPr>
        <w:t xml:space="preserve">Se emite o nouă ediție a </w:t>
      </w:r>
      <w:r w:rsidR="00AA1491" w:rsidRPr="00AD3643">
        <w:rPr>
          <w:rFonts w:ascii="Times New Roman" w:hAnsi="Times New Roman" w:cs="Times New Roman"/>
          <w:sz w:val="24"/>
          <w:szCs w:val="24"/>
          <w:lang w:val="ro-RO"/>
        </w:rPr>
        <w:t xml:space="preserve">AMC&amp;GM-Partea </w:t>
      </w:r>
      <w:r w:rsidR="00036081">
        <w:rPr>
          <w:rFonts w:ascii="Times New Roman" w:hAnsi="Times New Roman" w:cs="Times New Roman"/>
          <w:sz w:val="24"/>
          <w:szCs w:val="24"/>
          <w:lang w:val="ro-RO"/>
        </w:rPr>
        <w:t>145</w:t>
      </w:r>
      <w:r w:rsidR="00AA1491" w:rsidRPr="00AD3643">
        <w:rPr>
          <w:rFonts w:ascii="Times New Roman" w:hAnsi="Times New Roman" w:cs="Times New Roman"/>
          <w:sz w:val="24"/>
          <w:szCs w:val="24"/>
          <w:lang w:val="ro-RO"/>
        </w:rPr>
        <w:t xml:space="preserve">  </w:t>
      </w:r>
      <w:r w:rsidRPr="00AD3643">
        <w:rPr>
          <w:rFonts w:ascii="Times New Roman" w:hAnsi="Times New Roman" w:cs="Times New Roman"/>
          <w:sz w:val="24"/>
          <w:szCs w:val="24"/>
          <w:lang w:val="ro-RO"/>
        </w:rPr>
        <w:t xml:space="preserve">dacă volumul modificărilor depășește 30% din conținutul acesteia. </w:t>
      </w:r>
    </w:p>
    <w:p w14:paraId="50D24AF4" w14:textId="77777777" w:rsidR="00A64AA1" w:rsidRPr="00AD3643" w:rsidRDefault="00A64AA1" w:rsidP="00C95D06">
      <w:pPr>
        <w:spacing w:after="0" w:line="276" w:lineRule="auto"/>
        <w:jc w:val="both"/>
        <w:rPr>
          <w:rFonts w:ascii="Times New Roman" w:eastAsiaTheme="majorEastAsia" w:hAnsi="Times New Roman" w:cs="Times New Roman"/>
          <w:b/>
          <w:bCs/>
          <w:sz w:val="24"/>
          <w:szCs w:val="24"/>
          <w:lang w:val="ro-RO"/>
        </w:rPr>
      </w:pPr>
      <w:r w:rsidRPr="00AD3643">
        <w:rPr>
          <w:rFonts w:ascii="Times New Roman" w:hAnsi="Times New Roman" w:cs="Times New Roman"/>
          <w:sz w:val="24"/>
          <w:szCs w:val="24"/>
          <w:lang w:val="ro-RO"/>
        </w:rPr>
        <w:br w:type="page"/>
      </w:r>
    </w:p>
    <w:p w14:paraId="4777C05C" w14:textId="17AC3011" w:rsidR="00A64AA1" w:rsidRPr="00AD3643" w:rsidRDefault="00A64AA1" w:rsidP="00C95D06">
      <w:pPr>
        <w:pStyle w:val="Heading1"/>
        <w:spacing w:after="0"/>
        <w:jc w:val="both"/>
        <w:rPr>
          <w:rFonts w:ascii="Times New Roman" w:hAnsi="Times New Roman" w:cs="Times New Roman"/>
          <w:sz w:val="24"/>
          <w:szCs w:val="24"/>
          <w:lang w:val="ro-RO"/>
        </w:rPr>
      </w:pPr>
      <w:bookmarkStart w:id="7" w:name="_Toc191547313"/>
      <w:bookmarkStart w:id="8" w:name="_Toc209450339"/>
      <w:bookmarkStart w:id="9" w:name="_Toc241066014"/>
      <w:r w:rsidRPr="00AD3643">
        <w:rPr>
          <w:rFonts w:ascii="Times New Roman" w:hAnsi="Times New Roman" w:cs="Times New Roman"/>
          <w:sz w:val="24"/>
          <w:szCs w:val="24"/>
          <w:lang w:val="ro-RO"/>
        </w:rPr>
        <w:lastRenderedPageBreak/>
        <w:t>CAPITOLUL 1. PREVEDERI GENERALE</w:t>
      </w:r>
      <w:bookmarkEnd w:id="7"/>
      <w:bookmarkEnd w:id="8"/>
      <w:bookmarkEnd w:id="9"/>
    </w:p>
    <w:p w14:paraId="581B6C67" w14:textId="43BCC29C" w:rsidR="00A64AA1" w:rsidRPr="00AD3643" w:rsidRDefault="00A64AA1" w:rsidP="00C95D06">
      <w:pPr>
        <w:pStyle w:val="Heading2"/>
        <w:keepLines w:val="0"/>
        <w:widowControl w:val="0"/>
        <w:numPr>
          <w:ilvl w:val="1"/>
          <w:numId w:val="2"/>
        </w:numPr>
        <w:spacing w:before="0" w:after="0" w:line="240" w:lineRule="auto"/>
        <w:ind w:left="426" w:hanging="426"/>
        <w:jc w:val="both"/>
        <w:rPr>
          <w:rFonts w:ascii="Times New Roman" w:hAnsi="Times New Roman" w:cs="Times New Roman"/>
          <w:sz w:val="24"/>
          <w:szCs w:val="24"/>
        </w:rPr>
      </w:pPr>
      <w:bookmarkStart w:id="10" w:name="_Toc191547314"/>
      <w:bookmarkStart w:id="11" w:name="_Toc209450340"/>
      <w:bookmarkStart w:id="12" w:name="_Toc241066015"/>
      <w:r w:rsidRPr="00AD3643">
        <w:rPr>
          <w:rFonts w:ascii="Times New Roman" w:hAnsi="Times New Roman" w:cs="Times New Roman"/>
          <w:sz w:val="24"/>
          <w:szCs w:val="24"/>
        </w:rPr>
        <w:t>Scopul</w:t>
      </w:r>
      <w:bookmarkEnd w:id="10"/>
      <w:bookmarkEnd w:id="11"/>
      <w:bookmarkEnd w:id="12"/>
      <w:r w:rsidRPr="00AD3643">
        <w:rPr>
          <w:rFonts w:ascii="Times New Roman" w:hAnsi="Times New Roman" w:cs="Times New Roman"/>
          <w:sz w:val="24"/>
          <w:szCs w:val="24"/>
        </w:rPr>
        <w:t xml:space="preserve"> </w:t>
      </w:r>
    </w:p>
    <w:p w14:paraId="3B82AA9F" w14:textId="77777777" w:rsidR="002C6627" w:rsidRPr="00AD3643" w:rsidRDefault="002C6627" w:rsidP="00C95D06">
      <w:pPr>
        <w:spacing w:after="0"/>
        <w:jc w:val="both"/>
        <w:rPr>
          <w:rFonts w:ascii="Times New Roman" w:hAnsi="Times New Roman" w:cs="Times New Roman"/>
          <w:sz w:val="24"/>
          <w:szCs w:val="24"/>
        </w:rPr>
      </w:pPr>
    </w:p>
    <w:p w14:paraId="27296A24" w14:textId="08575520" w:rsidR="00A64AA1" w:rsidRPr="00AD3643" w:rsidRDefault="004A1065" w:rsidP="00C95D06">
      <w:pPr>
        <w:pStyle w:val="ListParagraph0"/>
        <w:numPr>
          <w:ilvl w:val="2"/>
          <w:numId w:val="2"/>
        </w:numPr>
        <w:spacing w:after="0" w:line="240" w:lineRule="auto"/>
        <w:contextualSpacing w:val="0"/>
        <w:jc w:val="both"/>
        <w:rPr>
          <w:rFonts w:ascii="Times New Roman" w:hAnsi="Times New Roman" w:cs="Times New Roman"/>
          <w:sz w:val="24"/>
          <w:szCs w:val="24"/>
          <w:lang w:val="ro-RO"/>
        </w:rPr>
      </w:pPr>
      <w:r w:rsidRPr="00AD3643">
        <w:rPr>
          <w:rFonts w:ascii="Times New Roman" w:hAnsi="Times New Roman" w:cs="Times New Roman"/>
          <w:color w:val="222222"/>
          <w:sz w:val="24"/>
          <w:szCs w:val="24"/>
          <w:shd w:val="clear" w:color="auto" w:fill="FFFFFF"/>
          <w:lang w:val="it-IT"/>
        </w:rPr>
        <w:t>Scopul</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prezentului</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AMC</w:t>
      </w:r>
      <w:r w:rsidRPr="007F7C8A">
        <w:rPr>
          <w:rFonts w:ascii="Times New Roman" w:hAnsi="Times New Roman" w:cs="Times New Roman"/>
          <w:color w:val="222222"/>
          <w:sz w:val="24"/>
          <w:szCs w:val="24"/>
          <w:shd w:val="clear" w:color="auto" w:fill="FFFFFF"/>
          <w:lang w:val="en-US"/>
        </w:rPr>
        <w:t>&amp;</w:t>
      </w:r>
      <w:r w:rsidRPr="00AD3643">
        <w:rPr>
          <w:rFonts w:ascii="Times New Roman" w:hAnsi="Times New Roman" w:cs="Times New Roman"/>
          <w:color w:val="222222"/>
          <w:sz w:val="24"/>
          <w:szCs w:val="24"/>
          <w:shd w:val="clear" w:color="auto" w:fill="FFFFFF"/>
          <w:lang w:val="it-IT"/>
        </w:rPr>
        <w:t>GM</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este</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de</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a</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furniza</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mijloace</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acceptabile</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de</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punere</w:t>
      </w:r>
      <w:r w:rsidRPr="007F7C8A">
        <w:rPr>
          <w:rFonts w:ascii="Times New Roman" w:hAnsi="Times New Roman" w:cs="Times New Roman"/>
          <w:color w:val="222222"/>
          <w:sz w:val="24"/>
          <w:szCs w:val="24"/>
          <w:shd w:val="clear" w:color="auto" w:fill="FFFFFF"/>
          <w:lang w:val="en-US"/>
        </w:rPr>
        <w:t xml:space="preserve"> î</w:t>
      </w:r>
      <w:r w:rsidRPr="00AD3643">
        <w:rPr>
          <w:rFonts w:ascii="Times New Roman" w:hAnsi="Times New Roman" w:cs="Times New Roman"/>
          <w:color w:val="222222"/>
          <w:sz w:val="24"/>
          <w:szCs w:val="24"/>
          <w:shd w:val="clear" w:color="auto" w:fill="FFFFFF"/>
          <w:lang w:val="it-IT"/>
        </w:rPr>
        <w:t>n</w:t>
      </w:r>
      <w:r w:rsidRPr="007F7C8A">
        <w:rPr>
          <w:rFonts w:ascii="Times New Roman" w:hAnsi="Times New Roman" w:cs="Times New Roman"/>
          <w:color w:val="222222"/>
          <w:sz w:val="24"/>
          <w:szCs w:val="24"/>
          <w:lang w:val="en-US"/>
        </w:rPr>
        <w:br/>
      </w:r>
      <w:r w:rsidRPr="00AD3643">
        <w:rPr>
          <w:rFonts w:ascii="Times New Roman" w:hAnsi="Times New Roman" w:cs="Times New Roman"/>
          <w:color w:val="222222"/>
          <w:sz w:val="24"/>
          <w:szCs w:val="24"/>
          <w:shd w:val="clear" w:color="auto" w:fill="FFFFFF"/>
          <w:lang w:val="it-IT"/>
        </w:rPr>
        <w:t>conformitate</w:t>
      </w:r>
      <w:r w:rsidRPr="007F7C8A">
        <w:rPr>
          <w:rFonts w:ascii="Times New Roman" w:hAnsi="Times New Roman" w:cs="Times New Roman"/>
          <w:color w:val="222222"/>
          <w:sz w:val="24"/>
          <w:szCs w:val="24"/>
          <w:shd w:val="clear" w:color="auto" w:fill="FFFFFF"/>
          <w:lang w:val="en-US"/>
        </w:rPr>
        <w:t xml:space="preserve"> ș</w:t>
      </w:r>
      <w:r w:rsidRPr="00AD3643">
        <w:rPr>
          <w:rFonts w:ascii="Times New Roman" w:hAnsi="Times New Roman" w:cs="Times New Roman"/>
          <w:color w:val="222222"/>
          <w:sz w:val="24"/>
          <w:szCs w:val="24"/>
          <w:shd w:val="clear" w:color="auto" w:fill="FFFFFF"/>
          <w:lang w:val="it-IT"/>
        </w:rPr>
        <w:t>i</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material</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de</w:t>
      </w:r>
      <w:r w:rsidRPr="007F7C8A">
        <w:rPr>
          <w:rFonts w:ascii="Times New Roman" w:hAnsi="Times New Roman" w:cs="Times New Roman"/>
          <w:color w:val="222222"/>
          <w:sz w:val="24"/>
          <w:szCs w:val="24"/>
          <w:shd w:val="clear" w:color="auto" w:fill="FFFFFF"/>
          <w:lang w:val="en-US"/>
        </w:rPr>
        <w:t xml:space="preserve"> î</w:t>
      </w:r>
      <w:r w:rsidRPr="00AD3643">
        <w:rPr>
          <w:rFonts w:ascii="Times New Roman" w:hAnsi="Times New Roman" w:cs="Times New Roman"/>
          <w:color w:val="222222"/>
          <w:sz w:val="24"/>
          <w:szCs w:val="24"/>
          <w:shd w:val="clear" w:color="auto" w:fill="FFFFFF"/>
          <w:lang w:val="it-IT"/>
        </w:rPr>
        <w:t>ndrumare</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la</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anexa</w:t>
      </w:r>
      <w:r w:rsidRPr="007F7C8A">
        <w:rPr>
          <w:rFonts w:ascii="Times New Roman" w:hAnsi="Times New Roman" w:cs="Times New Roman"/>
          <w:color w:val="222222"/>
          <w:sz w:val="24"/>
          <w:szCs w:val="24"/>
          <w:shd w:val="clear" w:color="auto" w:fill="FFFFFF"/>
          <w:lang w:val="en-US"/>
        </w:rPr>
        <w:t xml:space="preserve"> </w:t>
      </w:r>
      <w:r w:rsidR="00AD3643" w:rsidRPr="007F7C8A">
        <w:rPr>
          <w:rFonts w:ascii="Times New Roman" w:hAnsi="Times New Roman" w:cs="Times New Roman"/>
          <w:color w:val="222222"/>
          <w:sz w:val="24"/>
          <w:szCs w:val="24"/>
          <w:shd w:val="clear" w:color="auto" w:fill="FFFFFF"/>
          <w:lang w:val="en-US"/>
        </w:rPr>
        <w:t>2</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Partea</w:t>
      </w:r>
      <w:r w:rsidRPr="007F7C8A">
        <w:rPr>
          <w:rFonts w:ascii="Times New Roman" w:hAnsi="Times New Roman" w:cs="Times New Roman"/>
          <w:color w:val="222222"/>
          <w:sz w:val="24"/>
          <w:szCs w:val="24"/>
          <w:shd w:val="clear" w:color="auto" w:fill="FFFFFF"/>
          <w:lang w:val="en-US"/>
        </w:rPr>
        <w:t xml:space="preserve"> </w:t>
      </w:r>
      <w:r w:rsidR="00AD3643" w:rsidRPr="007F7C8A">
        <w:rPr>
          <w:rFonts w:ascii="Times New Roman" w:hAnsi="Times New Roman" w:cs="Times New Roman"/>
          <w:color w:val="222222"/>
          <w:sz w:val="24"/>
          <w:szCs w:val="24"/>
          <w:shd w:val="clear" w:color="auto" w:fill="FFFFFF"/>
          <w:lang w:val="en-US"/>
        </w:rPr>
        <w:t>145</w:t>
      </w:r>
      <w:r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la</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Regulamentul</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privind</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continuitatea</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navigabilit</w:t>
      </w:r>
      <w:r w:rsidR="00846F14" w:rsidRPr="007F7C8A">
        <w:rPr>
          <w:rFonts w:ascii="Times New Roman" w:hAnsi="Times New Roman" w:cs="Times New Roman"/>
          <w:color w:val="222222"/>
          <w:sz w:val="24"/>
          <w:szCs w:val="24"/>
          <w:shd w:val="clear" w:color="auto" w:fill="FFFFFF"/>
          <w:lang w:val="en-US"/>
        </w:rPr>
        <w:t>ăţ</w:t>
      </w:r>
      <w:r w:rsidR="00846F14" w:rsidRPr="00AD3643">
        <w:rPr>
          <w:rFonts w:ascii="Times New Roman" w:hAnsi="Times New Roman" w:cs="Times New Roman"/>
          <w:color w:val="222222"/>
          <w:sz w:val="24"/>
          <w:szCs w:val="24"/>
          <w:shd w:val="clear" w:color="auto" w:fill="FFFFFF"/>
          <w:lang w:val="it-IT"/>
        </w:rPr>
        <w:t>ii</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aeronavelor</w:t>
      </w:r>
      <w:r w:rsidR="00846F14" w:rsidRPr="007F7C8A">
        <w:rPr>
          <w:rFonts w:ascii="Times New Roman" w:hAnsi="Times New Roman" w:cs="Times New Roman"/>
          <w:color w:val="222222"/>
          <w:sz w:val="24"/>
          <w:szCs w:val="24"/>
          <w:shd w:val="clear" w:color="auto" w:fill="FFFFFF"/>
          <w:lang w:val="en-US"/>
        </w:rPr>
        <w:t xml:space="preserve"> ş</w:t>
      </w:r>
      <w:r w:rsidR="00846F14" w:rsidRPr="00AD3643">
        <w:rPr>
          <w:rFonts w:ascii="Times New Roman" w:hAnsi="Times New Roman" w:cs="Times New Roman"/>
          <w:color w:val="222222"/>
          <w:sz w:val="24"/>
          <w:szCs w:val="24"/>
          <w:shd w:val="clear" w:color="auto" w:fill="FFFFFF"/>
          <w:lang w:val="it-IT"/>
        </w:rPr>
        <w:t>i</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a</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produselor</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reperelor</w:t>
      </w:r>
      <w:r w:rsidR="00846F14" w:rsidRPr="007F7C8A">
        <w:rPr>
          <w:rFonts w:ascii="Times New Roman" w:hAnsi="Times New Roman" w:cs="Times New Roman"/>
          <w:color w:val="222222"/>
          <w:sz w:val="24"/>
          <w:szCs w:val="24"/>
          <w:shd w:val="clear" w:color="auto" w:fill="FFFFFF"/>
          <w:lang w:val="en-US"/>
        </w:rPr>
        <w:t xml:space="preserve"> ş</w:t>
      </w:r>
      <w:r w:rsidR="00846F14" w:rsidRPr="00AD3643">
        <w:rPr>
          <w:rFonts w:ascii="Times New Roman" w:hAnsi="Times New Roman" w:cs="Times New Roman"/>
          <w:color w:val="222222"/>
          <w:sz w:val="24"/>
          <w:szCs w:val="24"/>
          <w:shd w:val="clear" w:color="auto" w:fill="FFFFFF"/>
          <w:lang w:val="it-IT"/>
        </w:rPr>
        <w:t>i</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dispozitivelor</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aeronautice</w:t>
      </w:r>
      <w:r w:rsidR="00846F14" w:rsidRPr="007F7C8A">
        <w:rPr>
          <w:rFonts w:ascii="Times New Roman" w:hAnsi="Times New Roman" w:cs="Times New Roman"/>
          <w:color w:val="222222"/>
          <w:sz w:val="24"/>
          <w:szCs w:val="24"/>
          <w:shd w:val="clear" w:color="auto" w:fill="FFFFFF"/>
          <w:lang w:val="en-US"/>
        </w:rPr>
        <w:t xml:space="preserve"> ş</w:t>
      </w:r>
      <w:r w:rsidR="00846F14" w:rsidRPr="00AD3643">
        <w:rPr>
          <w:rFonts w:ascii="Times New Roman" w:hAnsi="Times New Roman" w:cs="Times New Roman"/>
          <w:color w:val="222222"/>
          <w:sz w:val="24"/>
          <w:szCs w:val="24"/>
          <w:shd w:val="clear" w:color="auto" w:fill="FFFFFF"/>
          <w:lang w:val="it-IT"/>
        </w:rPr>
        <w:t>i</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autorizarea</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organiza</w:t>
      </w:r>
      <w:r w:rsidR="00846F14" w:rsidRPr="007F7C8A">
        <w:rPr>
          <w:rFonts w:ascii="Times New Roman" w:hAnsi="Times New Roman" w:cs="Times New Roman"/>
          <w:color w:val="222222"/>
          <w:sz w:val="24"/>
          <w:szCs w:val="24"/>
          <w:shd w:val="clear" w:color="auto" w:fill="FFFFFF"/>
          <w:lang w:val="en-US"/>
        </w:rPr>
        <w:t>ț</w:t>
      </w:r>
      <w:r w:rsidR="00846F14" w:rsidRPr="00AD3643">
        <w:rPr>
          <w:rFonts w:ascii="Times New Roman" w:hAnsi="Times New Roman" w:cs="Times New Roman"/>
          <w:color w:val="222222"/>
          <w:sz w:val="24"/>
          <w:szCs w:val="24"/>
          <w:shd w:val="clear" w:color="auto" w:fill="FFFFFF"/>
          <w:lang w:val="it-IT"/>
        </w:rPr>
        <w:t>iilor</w:t>
      </w:r>
      <w:r w:rsidR="00846F14" w:rsidRPr="007F7C8A">
        <w:rPr>
          <w:rFonts w:ascii="Times New Roman" w:hAnsi="Times New Roman" w:cs="Times New Roman"/>
          <w:color w:val="222222"/>
          <w:sz w:val="24"/>
          <w:szCs w:val="24"/>
          <w:shd w:val="clear" w:color="auto" w:fill="FFFFFF"/>
          <w:lang w:val="en-US"/>
        </w:rPr>
        <w:t xml:space="preserve"> ş</w:t>
      </w:r>
      <w:r w:rsidR="00846F14" w:rsidRPr="00AD3643">
        <w:rPr>
          <w:rFonts w:ascii="Times New Roman" w:hAnsi="Times New Roman" w:cs="Times New Roman"/>
          <w:color w:val="222222"/>
          <w:sz w:val="24"/>
          <w:szCs w:val="24"/>
          <w:shd w:val="clear" w:color="auto" w:fill="FFFFFF"/>
          <w:lang w:val="it-IT"/>
        </w:rPr>
        <w:t>i</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a</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personalului</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cu</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atribu</w:t>
      </w:r>
      <w:r w:rsidR="00846F14" w:rsidRPr="007F7C8A">
        <w:rPr>
          <w:rFonts w:ascii="Times New Roman" w:hAnsi="Times New Roman" w:cs="Times New Roman"/>
          <w:color w:val="222222"/>
          <w:sz w:val="24"/>
          <w:szCs w:val="24"/>
          <w:shd w:val="clear" w:color="auto" w:fill="FFFFFF"/>
          <w:lang w:val="en-US"/>
        </w:rPr>
        <w:t>ţ</w:t>
      </w:r>
      <w:r w:rsidR="00846F14" w:rsidRPr="00AD3643">
        <w:rPr>
          <w:rFonts w:ascii="Times New Roman" w:hAnsi="Times New Roman" w:cs="Times New Roman"/>
          <w:color w:val="222222"/>
          <w:sz w:val="24"/>
          <w:szCs w:val="24"/>
          <w:shd w:val="clear" w:color="auto" w:fill="FFFFFF"/>
          <w:lang w:val="it-IT"/>
        </w:rPr>
        <w:t>ii</w:t>
      </w:r>
      <w:r w:rsidR="00846F14" w:rsidRPr="007F7C8A">
        <w:rPr>
          <w:rFonts w:ascii="Times New Roman" w:hAnsi="Times New Roman" w:cs="Times New Roman"/>
          <w:color w:val="222222"/>
          <w:sz w:val="24"/>
          <w:szCs w:val="24"/>
          <w:shd w:val="clear" w:color="auto" w:fill="FFFFFF"/>
          <w:lang w:val="en-US"/>
        </w:rPr>
        <w:t xml:space="preserve"> î</w:t>
      </w:r>
      <w:r w:rsidR="00846F14" w:rsidRPr="00AD3643">
        <w:rPr>
          <w:rFonts w:ascii="Times New Roman" w:hAnsi="Times New Roman" w:cs="Times New Roman"/>
          <w:color w:val="222222"/>
          <w:sz w:val="24"/>
          <w:szCs w:val="24"/>
          <w:shd w:val="clear" w:color="auto" w:fill="FFFFFF"/>
          <w:lang w:val="it-IT"/>
        </w:rPr>
        <w:t>n</w:t>
      </w:r>
      <w:r w:rsidR="00846F14" w:rsidRPr="007F7C8A">
        <w:rPr>
          <w:rFonts w:ascii="Times New Roman" w:hAnsi="Times New Roman" w:cs="Times New Roman"/>
          <w:color w:val="222222"/>
          <w:sz w:val="24"/>
          <w:szCs w:val="24"/>
          <w:shd w:val="clear" w:color="auto" w:fill="FFFFFF"/>
          <w:lang w:val="en-US"/>
        </w:rPr>
        <w:t xml:space="preserve"> </w:t>
      </w:r>
      <w:r w:rsidR="00846F14" w:rsidRPr="00AD3643">
        <w:rPr>
          <w:rFonts w:ascii="Times New Roman" w:hAnsi="Times New Roman" w:cs="Times New Roman"/>
          <w:color w:val="222222"/>
          <w:sz w:val="24"/>
          <w:szCs w:val="24"/>
          <w:shd w:val="clear" w:color="auto" w:fill="FFFFFF"/>
          <w:lang w:val="it-IT"/>
        </w:rPr>
        <w:t>domeniu</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aprobat</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prin</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Hot</w:t>
      </w:r>
      <w:r w:rsidRPr="007F7C8A">
        <w:rPr>
          <w:rFonts w:ascii="Times New Roman" w:hAnsi="Times New Roman" w:cs="Times New Roman"/>
          <w:color w:val="222222"/>
          <w:sz w:val="24"/>
          <w:szCs w:val="24"/>
          <w:shd w:val="clear" w:color="auto" w:fill="FFFFFF"/>
          <w:lang w:val="en-US"/>
        </w:rPr>
        <w:t>ă</w:t>
      </w:r>
      <w:r w:rsidRPr="00AD3643">
        <w:rPr>
          <w:rFonts w:ascii="Times New Roman" w:hAnsi="Times New Roman" w:cs="Times New Roman"/>
          <w:color w:val="222222"/>
          <w:sz w:val="24"/>
          <w:szCs w:val="24"/>
          <w:shd w:val="clear" w:color="auto" w:fill="FFFFFF"/>
          <w:lang w:val="it-IT"/>
        </w:rPr>
        <w:t>r</w:t>
      </w:r>
      <w:r w:rsidRPr="007F7C8A">
        <w:rPr>
          <w:rFonts w:ascii="Times New Roman" w:hAnsi="Times New Roman" w:cs="Times New Roman"/>
          <w:color w:val="222222"/>
          <w:sz w:val="24"/>
          <w:szCs w:val="24"/>
          <w:shd w:val="clear" w:color="auto" w:fill="FFFFFF"/>
          <w:lang w:val="en-US"/>
        </w:rPr>
        <w:t>î</w:t>
      </w:r>
      <w:r w:rsidRPr="00AD3643">
        <w:rPr>
          <w:rFonts w:ascii="Times New Roman" w:hAnsi="Times New Roman" w:cs="Times New Roman"/>
          <w:color w:val="222222"/>
          <w:sz w:val="24"/>
          <w:szCs w:val="24"/>
          <w:shd w:val="clear" w:color="auto" w:fill="FFFFFF"/>
          <w:lang w:val="it-IT"/>
        </w:rPr>
        <w:t>rea</w:t>
      </w:r>
      <w:r w:rsidRPr="007F7C8A">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it-IT"/>
        </w:rPr>
        <w:t>Guvernului</w:t>
      </w:r>
      <w:r w:rsidRPr="007F7C8A">
        <w:rPr>
          <w:rFonts w:ascii="Times New Roman" w:hAnsi="Times New Roman" w:cs="Times New Roman"/>
          <w:color w:val="222222"/>
          <w:sz w:val="24"/>
          <w:szCs w:val="24"/>
          <w:shd w:val="clear" w:color="auto" w:fill="FFFFFF"/>
          <w:lang w:val="en-US"/>
        </w:rPr>
        <w:t xml:space="preserve"> </w:t>
      </w:r>
      <w:r w:rsidR="00540C16" w:rsidRPr="007F7C8A">
        <w:rPr>
          <w:rFonts w:ascii="Times New Roman" w:hAnsi="Times New Roman" w:cs="Times New Roman"/>
          <w:color w:val="222222"/>
          <w:sz w:val="24"/>
          <w:szCs w:val="24"/>
          <w:shd w:val="clear" w:color="auto" w:fill="FFFFFF"/>
          <w:lang w:val="en-US"/>
        </w:rPr>
        <w:t>465</w:t>
      </w:r>
      <w:r w:rsidRPr="007F7C8A">
        <w:rPr>
          <w:rFonts w:ascii="Times New Roman" w:hAnsi="Times New Roman" w:cs="Times New Roman"/>
          <w:color w:val="222222"/>
          <w:sz w:val="24"/>
          <w:szCs w:val="24"/>
          <w:shd w:val="clear" w:color="auto" w:fill="FFFFFF"/>
          <w:lang w:val="en-US"/>
        </w:rPr>
        <w:t>/20</w:t>
      </w:r>
      <w:r w:rsidR="00540C16" w:rsidRPr="007F7C8A">
        <w:rPr>
          <w:rFonts w:ascii="Times New Roman" w:hAnsi="Times New Roman" w:cs="Times New Roman"/>
          <w:color w:val="222222"/>
          <w:sz w:val="24"/>
          <w:szCs w:val="24"/>
          <w:shd w:val="clear" w:color="auto" w:fill="FFFFFF"/>
          <w:lang w:val="en-US"/>
        </w:rPr>
        <w:t>25</w:t>
      </w:r>
      <w:r w:rsidRPr="007F7C8A">
        <w:rPr>
          <w:rFonts w:ascii="Times New Roman" w:hAnsi="Times New Roman" w:cs="Times New Roman"/>
          <w:color w:val="222222"/>
          <w:sz w:val="24"/>
          <w:szCs w:val="24"/>
          <w:shd w:val="clear" w:color="auto" w:fill="FFFFFF"/>
          <w:lang w:val="en-US"/>
        </w:rPr>
        <w:t>.</w:t>
      </w:r>
    </w:p>
    <w:p w14:paraId="7AD9BCA5" w14:textId="150039A8" w:rsidR="00A64AA1" w:rsidRPr="007F7C8A" w:rsidRDefault="00A64AA1" w:rsidP="00C95D06">
      <w:pPr>
        <w:pStyle w:val="ListParagraph0"/>
        <w:spacing w:after="0" w:line="240" w:lineRule="auto"/>
        <w:contextualSpacing w:val="0"/>
        <w:jc w:val="both"/>
        <w:rPr>
          <w:rFonts w:ascii="Times New Roman" w:hAnsi="Times New Roman" w:cs="Times New Roman"/>
          <w:sz w:val="24"/>
          <w:szCs w:val="24"/>
          <w:lang w:val="en-US"/>
        </w:rPr>
      </w:pPr>
    </w:p>
    <w:p w14:paraId="0E26F06B" w14:textId="44B0A398" w:rsidR="00A64AA1" w:rsidRPr="00AD3643" w:rsidRDefault="00A64AA1" w:rsidP="00C95D06">
      <w:pPr>
        <w:pStyle w:val="Heading2"/>
        <w:keepLines w:val="0"/>
        <w:widowControl w:val="0"/>
        <w:numPr>
          <w:ilvl w:val="1"/>
          <w:numId w:val="2"/>
        </w:numPr>
        <w:spacing w:before="0" w:after="0" w:line="240" w:lineRule="auto"/>
        <w:ind w:left="426" w:hanging="426"/>
        <w:jc w:val="both"/>
        <w:rPr>
          <w:rFonts w:ascii="Times New Roman" w:hAnsi="Times New Roman" w:cs="Times New Roman"/>
          <w:sz w:val="24"/>
          <w:szCs w:val="24"/>
          <w:lang w:val="en-US"/>
        </w:rPr>
      </w:pPr>
      <w:bookmarkStart w:id="13" w:name="_Toc191547315"/>
      <w:bookmarkStart w:id="14" w:name="_Toc209450341"/>
      <w:bookmarkStart w:id="15" w:name="_Toc241066016"/>
      <w:r w:rsidRPr="00AD3643">
        <w:rPr>
          <w:rFonts w:ascii="Times New Roman" w:hAnsi="Times New Roman" w:cs="Times New Roman"/>
          <w:sz w:val="24"/>
          <w:szCs w:val="24"/>
          <w:lang w:val="en-US"/>
        </w:rPr>
        <w:t>Domeniul de aplicare</w:t>
      </w:r>
      <w:bookmarkEnd w:id="13"/>
      <w:bookmarkEnd w:id="14"/>
      <w:bookmarkEnd w:id="15"/>
      <w:r w:rsidRPr="00AD3643">
        <w:rPr>
          <w:rFonts w:ascii="Times New Roman" w:hAnsi="Times New Roman" w:cs="Times New Roman"/>
          <w:sz w:val="24"/>
          <w:szCs w:val="24"/>
          <w:lang w:val="en-US"/>
        </w:rPr>
        <w:t xml:space="preserve"> </w:t>
      </w:r>
    </w:p>
    <w:p w14:paraId="4780D596" w14:textId="77777777" w:rsidR="002C6627" w:rsidRPr="00AD3643" w:rsidRDefault="002C6627" w:rsidP="00C95D06">
      <w:pPr>
        <w:spacing w:after="0"/>
        <w:jc w:val="both"/>
        <w:rPr>
          <w:rFonts w:ascii="Times New Roman" w:hAnsi="Times New Roman" w:cs="Times New Roman"/>
          <w:sz w:val="24"/>
          <w:szCs w:val="24"/>
          <w:lang w:val="en-US"/>
        </w:rPr>
      </w:pPr>
    </w:p>
    <w:p w14:paraId="507B358B" w14:textId="0C5AA2EF" w:rsidR="00E95E33" w:rsidRPr="00AD3643" w:rsidRDefault="00E95E33" w:rsidP="00C95D06">
      <w:pPr>
        <w:pStyle w:val="ListParagraph0"/>
        <w:numPr>
          <w:ilvl w:val="2"/>
          <w:numId w:val="2"/>
        </w:numPr>
        <w:spacing w:after="0" w:line="240" w:lineRule="auto"/>
        <w:contextualSpacing w:val="0"/>
        <w:jc w:val="both"/>
        <w:rPr>
          <w:rFonts w:ascii="Times New Roman" w:hAnsi="Times New Roman" w:cs="Times New Roman"/>
          <w:sz w:val="24"/>
          <w:szCs w:val="24"/>
          <w:lang w:val="ro-RO"/>
        </w:rPr>
      </w:pPr>
      <w:r w:rsidRPr="00AD3643">
        <w:rPr>
          <w:rFonts w:ascii="Times New Roman" w:hAnsi="Times New Roman" w:cs="Times New Roman"/>
          <w:color w:val="222222"/>
          <w:sz w:val="24"/>
          <w:szCs w:val="24"/>
          <w:shd w:val="clear" w:color="auto" w:fill="FFFFFF"/>
          <w:lang w:val="en-US"/>
        </w:rPr>
        <w:t>Domeniul de aplicare al prezentului AMC&amp;G</w:t>
      </w:r>
      <w:r w:rsidR="00D46A96" w:rsidRPr="00AD3643">
        <w:rPr>
          <w:rFonts w:ascii="Times New Roman" w:hAnsi="Times New Roman" w:cs="Times New Roman"/>
          <w:color w:val="222222"/>
          <w:sz w:val="24"/>
          <w:szCs w:val="24"/>
          <w:shd w:val="clear" w:color="auto" w:fill="FFFFFF"/>
          <w:lang w:val="en-US"/>
        </w:rPr>
        <w:t xml:space="preserve">M corespunde anexei </w:t>
      </w:r>
      <w:r w:rsidR="00AD3643" w:rsidRPr="00AD3643">
        <w:rPr>
          <w:rFonts w:ascii="Times New Roman" w:hAnsi="Times New Roman" w:cs="Times New Roman"/>
          <w:color w:val="222222"/>
          <w:sz w:val="24"/>
          <w:szCs w:val="24"/>
          <w:shd w:val="clear" w:color="auto" w:fill="FFFFFF"/>
          <w:lang w:val="en-US"/>
        </w:rPr>
        <w:t>2</w:t>
      </w:r>
      <w:r w:rsidR="00540C16" w:rsidRPr="00AD3643">
        <w:rPr>
          <w:rFonts w:ascii="Times New Roman" w:hAnsi="Times New Roman" w:cs="Times New Roman"/>
          <w:color w:val="222222"/>
          <w:sz w:val="24"/>
          <w:szCs w:val="24"/>
          <w:shd w:val="clear" w:color="auto" w:fill="FFFFFF"/>
          <w:lang w:val="en-US"/>
        </w:rPr>
        <w:t xml:space="preserve"> (Partea </w:t>
      </w:r>
      <w:r w:rsidR="00AD3643" w:rsidRPr="00AD3643">
        <w:rPr>
          <w:rFonts w:ascii="Times New Roman" w:hAnsi="Times New Roman" w:cs="Times New Roman"/>
          <w:color w:val="222222"/>
          <w:sz w:val="24"/>
          <w:szCs w:val="24"/>
          <w:shd w:val="clear" w:color="auto" w:fill="FFFFFF"/>
          <w:lang w:val="en-US"/>
        </w:rPr>
        <w:t>145</w:t>
      </w:r>
      <w:r w:rsidRPr="00AD3643">
        <w:rPr>
          <w:rFonts w:ascii="Times New Roman" w:hAnsi="Times New Roman" w:cs="Times New Roman"/>
          <w:color w:val="222222"/>
          <w:sz w:val="24"/>
          <w:szCs w:val="24"/>
          <w:shd w:val="clear" w:color="auto" w:fill="FFFFFF"/>
          <w:lang w:val="en-US"/>
        </w:rPr>
        <w:t>) la</w:t>
      </w:r>
      <w:r w:rsidRPr="00AD3643">
        <w:rPr>
          <w:rFonts w:ascii="Times New Roman" w:hAnsi="Times New Roman" w:cs="Times New Roman"/>
          <w:color w:val="222222"/>
          <w:sz w:val="24"/>
          <w:szCs w:val="24"/>
          <w:lang w:val="en-US"/>
        </w:rPr>
        <w:br/>
      </w:r>
      <w:r w:rsidR="000A5510" w:rsidRPr="00AD3643">
        <w:rPr>
          <w:rFonts w:ascii="Times New Roman" w:hAnsi="Times New Roman" w:cs="Times New Roman"/>
          <w:color w:val="222222"/>
          <w:sz w:val="24"/>
          <w:szCs w:val="24"/>
          <w:shd w:val="clear" w:color="auto" w:fill="FFFFFF"/>
          <w:lang w:val="en-US"/>
        </w:rPr>
        <w:t xml:space="preserve">Regulamentul privind continuitatea navigabilităţii aeronavelor şi a produselor, reperelor şi dispozitivelor aeronautice şi autorizarea organizațiilor şi a personalului cu atribuţii în domeniu </w:t>
      </w:r>
      <w:r w:rsidRPr="00AD3643">
        <w:rPr>
          <w:rFonts w:ascii="Times New Roman" w:hAnsi="Times New Roman" w:cs="Times New Roman"/>
          <w:color w:val="222222"/>
          <w:sz w:val="24"/>
          <w:szCs w:val="24"/>
          <w:shd w:val="clear" w:color="auto" w:fill="FFFFFF"/>
          <w:lang w:val="en-US"/>
        </w:rPr>
        <w:t>aprobat prin Hotărîrea</w:t>
      </w:r>
      <w:r w:rsidR="000A5510" w:rsidRPr="00AD3643">
        <w:rPr>
          <w:rFonts w:ascii="Times New Roman" w:hAnsi="Times New Roman" w:cs="Times New Roman"/>
          <w:color w:val="222222"/>
          <w:sz w:val="24"/>
          <w:szCs w:val="24"/>
          <w:shd w:val="clear" w:color="auto" w:fill="FFFFFF"/>
          <w:lang w:val="en-US"/>
        </w:rPr>
        <w:t xml:space="preserve"> </w:t>
      </w:r>
      <w:r w:rsidRPr="00AD3643">
        <w:rPr>
          <w:rFonts w:ascii="Times New Roman" w:hAnsi="Times New Roman" w:cs="Times New Roman"/>
          <w:color w:val="222222"/>
          <w:sz w:val="24"/>
          <w:szCs w:val="24"/>
          <w:shd w:val="clear" w:color="auto" w:fill="FFFFFF"/>
          <w:lang w:val="en-US"/>
        </w:rPr>
        <w:t xml:space="preserve">Guvernului </w:t>
      </w:r>
      <w:r w:rsidR="00540C16" w:rsidRPr="00AD3643">
        <w:rPr>
          <w:rFonts w:ascii="Times New Roman" w:hAnsi="Times New Roman" w:cs="Times New Roman"/>
          <w:color w:val="222222"/>
          <w:sz w:val="24"/>
          <w:szCs w:val="24"/>
          <w:shd w:val="clear" w:color="auto" w:fill="FFFFFF"/>
          <w:lang w:val="en-US"/>
        </w:rPr>
        <w:t>465/2025</w:t>
      </w:r>
      <w:r w:rsidRPr="00AD3643">
        <w:rPr>
          <w:rFonts w:ascii="Times New Roman" w:hAnsi="Times New Roman" w:cs="Times New Roman"/>
          <w:color w:val="222222"/>
          <w:sz w:val="24"/>
          <w:szCs w:val="24"/>
          <w:shd w:val="clear" w:color="auto" w:fill="FFFFFF"/>
          <w:lang w:val="en-US"/>
        </w:rPr>
        <w:t>.</w:t>
      </w:r>
    </w:p>
    <w:p w14:paraId="24DB9C81" w14:textId="7BCF0838" w:rsidR="00A64AA1" w:rsidRPr="00AD3643" w:rsidRDefault="00A64AA1" w:rsidP="00C95D06">
      <w:pPr>
        <w:pStyle w:val="ListParagraph0"/>
        <w:spacing w:after="0" w:line="240" w:lineRule="auto"/>
        <w:contextualSpacing w:val="0"/>
        <w:jc w:val="both"/>
        <w:rPr>
          <w:rFonts w:ascii="Times New Roman" w:hAnsi="Times New Roman" w:cs="Times New Roman"/>
          <w:sz w:val="24"/>
          <w:szCs w:val="24"/>
          <w:lang w:val="ro-RO"/>
        </w:rPr>
      </w:pPr>
      <w:r w:rsidRPr="00AD3643">
        <w:rPr>
          <w:rFonts w:ascii="Times New Roman" w:hAnsi="Times New Roman" w:cs="Times New Roman"/>
          <w:sz w:val="24"/>
          <w:szCs w:val="24"/>
          <w:lang w:val="ro-RO"/>
        </w:rPr>
        <w:t xml:space="preserve"> </w:t>
      </w:r>
    </w:p>
    <w:p w14:paraId="001A3BEF" w14:textId="77777777" w:rsidR="004F2ADB" w:rsidRDefault="00E95E33" w:rsidP="00C95D06">
      <w:pPr>
        <w:pStyle w:val="Heading2"/>
        <w:keepLines w:val="0"/>
        <w:widowControl w:val="0"/>
        <w:numPr>
          <w:ilvl w:val="1"/>
          <w:numId w:val="2"/>
        </w:numPr>
        <w:spacing w:before="0" w:after="0" w:line="240" w:lineRule="auto"/>
        <w:ind w:left="426" w:hanging="426"/>
        <w:jc w:val="both"/>
        <w:rPr>
          <w:rFonts w:ascii="Times New Roman" w:hAnsi="Times New Roman" w:cs="Times New Roman"/>
          <w:sz w:val="24"/>
          <w:szCs w:val="24"/>
          <w:lang w:val="en-US"/>
        </w:rPr>
      </w:pPr>
      <w:bookmarkStart w:id="16" w:name="_Toc191547316"/>
      <w:r w:rsidRPr="00AD3643">
        <w:rPr>
          <w:rFonts w:ascii="Times New Roman" w:hAnsi="Times New Roman" w:cs="Times New Roman"/>
          <w:sz w:val="24"/>
          <w:szCs w:val="24"/>
          <w:lang w:val="en-US"/>
        </w:rPr>
        <w:t xml:space="preserve">    </w:t>
      </w:r>
      <w:bookmarkStart w:id="17" w:name="_Toc209450342"/>
      <w:bookmarkStart w:id="18" w:name="_Toc241066017"/>
      <w:r w:rsidRPr="00AD3643">
        <w:rPr>
          <w:rFonts w:ascii="Times New Roman" w:hAnsi="Times New Roman" w:cs="Times New Roman"/>
          <w:sz w:val="24"/>
          <w:szCs w:val="24"/>
        </w:rPr>
        <w:t>Definiții și abrevieri</w:t>
      </w:r>
      <w:bookmarkEnd w:id="17"/>
      <w:bookmarkEnd w:id="18"/>
    </w:p>
    <w:p w14:paraId="53422CC6" w14:textId="77777777" w:rsidR="001F4A36" w:rsidRPr="001F4A36" w:rsidRDefault="001F4A36" w:rsidP="001F4A36">
      <w:pPr>
        <w:spacing w:after="0"/>
        <w:rPr>
          <w:lang w:val="en-US"/>
        </w:rPr>
      </w:pPr>
    </w:p>
    <w:bookmarkEnd w:id="16"/>
    <w:p w14:paraId="4C02C357" w14:textId="77777777" w:rsidR="004F2ADB" w:rsidRPr="004F2ADB" w:rsidRDefault="00E95E33" w:rsidP="001F4A36">
      <w:pPr>
        <w:pStyle w:val="ListParagraph0"/>
        <w:numPr>
          <w:ilvl w:val="2"/>
          <w:numId w:val="3"/>
        </w:numPr>
        <w:spacing w:after="0" w:line="240" w:lineRule="auto"/>
        <w:contextualSpacing w:val="0"/>
        <w:jc w:val="both"/>
        <w:rPr>
          <w:rFonts w:ascii="Times New Roman" w:hAnsi="Times New Roman" w:cs="Times New Roman"/>
          <w:b/>
          <w:sz w:val="24"/>
          <w:szCs w:val="24"/>
          <w:lang w:val="ro-RO"/>
        </w:rPr>
      </w:pPr>
      <w:r w:rsidRPr="00AD3643">
        <w:rPr>
          <w:rFonts w:ascii="Times New Roman" w:hAnsi="Times New Roman" w:cs="Times New Roman"/>
          <w:color w:val="222222"/>
          <w:sz w:val="24"/>
          <w:szCs w:val="24"/>
          <w:shd w:val="clear" w:color="auto" w:fill="FFFFFF"/>
          <w:lang w:val="ro-RO"/>
        </w:rPr>
        <w:t>Definițiile și abrevierile utilizate sunt cele de la Capit</w:t>
      </w:r>
      <w:r w:rsidR="000A5510" w:rsidRPr="00AD3643">
        <w:rPr>
          <w:rFonts w:ascii="Times New Roman" w:hAnsi="Times New Roman" w:cs="Times New Roman"/>
          <w:color w:val="222222"/>
          <w:sz w:val="24"/>
          <w:szCs w:val="24"/>
          <w:shd w:val="clear" w:color="auto" w:fill="FFFFFF"/>
          <w:lang w:val="ro-RO"/>
        </w:rPr>
        <w:t xml:space="preserve">olul I al Regulamentului privind continuitatea navigabilităţii aeronavelor şi a produselor, reperelor şi dispozitivelor aeronautice şi autorizarea organizațiilor şi a personalului cu atribuţii în domeniu aprobat prin </w:t>
      </w:r>
      <w:r w:rsidRPr="00AD3643">
        <w:rPr>
          <w:rFonts w:ascii="Times New Roman" w:hAnsi="Times New Roman" w:cs="Times New Roman"/>
          <w:color w:val="222222"/>
          <w:sz w:val="24"/>
          <w:szCs w:val="24"/>
          <w:shd w:val="clear" w:color="auto" w:fill="FFFFFF"/>
          <w:lang w:val="ro-RO"/>
        </w:rPr>
        <w:t xml:space="preserve">Hotărîrea Guvernului </w:t>
      </w:r>
      <w:r w:rsidR="00540C16" w:rsidRPr="00AD3643">
        <w:rPr>
          <w:rFonts w:ascii="Times New Roman" w:hAnsi="Times New Roman" w:cs="Times New Roman"/>
          <w:color w:val="222222"/>
          <w:sz w:val="24"/>
          <w:szCs w:val="24"/>
          <w:shd w:val="clear" w:color="auto" w:fill="FFFFFF"/>
          <w:lang w:val="ro-RO"/>
        </w:rPr>
        <w:t>465/2025</w:t>
      </w:r>
      <w:r w:rsidRPr="00AD3643">
        <w:rPr>
          <w:rFonts w:ascii="Times New Roman" w:hAnsi="Times New Roman" w:cs="Times New Roman"/>
          <w:color w:val="222222"/>
          <w:sz w:val="24"/>
          <w:szCs w:val="24"/>
          <w:shd w:val="clear" w:color="auto" w:fill="FFFFFF"/>
          <w:lang w:val="ro-RO"/>
        </w:rPr>
        <w:t>.</w:t>
      </w:r>
    </w:p>
    <w:p w14:paraId="193301E6" w14:textId="1BB4F11A" w:rsidR="00A64AA1" w:rsidRPr="00AD3643" w:rsidRDefault="00A64AA1" w:rsidP="004F2ADB">
      <w:pPr>
        <w:pStyle w:val="ListParagraph0"/>
        <w:spacing w:after="0" w:line="240" w:lineRule="auto"/>
        <w:contextualSpacing w:val="0"/>
        <w:jc w:val="both"/>
        <w:rPr>
          <w:rFonts w:ascii="Times New Roman" w:hAnsi="Times New Roman" w:cs="Times New Roman"/>
          <w:b/>
          <w:sz w:val="24"/>
          <w:szCs w:val="24"/>
          <w:lang w:val="ro-RO"/>
        </w:rPr>
      </w:pPr>
    </w:p>
    <w:p w14:paraId="54DCA028" w14:textId="402C5CCC" w:rsidR="00A64AA1" w:rsidRPr="00AD3643" w:rsidRDefault="002C6627" w:rsidP="00C95D06">
      <w:pPr>
        <w:pStyle w:val="Heading2"/>
        <w:keepLines w:val="0"/>
        <w:widowControl w:val="0"/>
        <w:numPr>
          <w:ilvl w:val="1"/>
          <w:numId w:val="2"/>
        </w:numPr>
        <w:spacing w:before="0" w:after="0" w:line="240" w:lineRule="auto"/>
        <w:ind w:left="426" w:hanging="426"/>
        <w:jc w:val="both"/>
        <w:rPr>
          <w:rFonts w:ascii="Times New Roman" w:hAnsi="Times New Roman" w:cs="Times New Roman"/>
          <w:sz w:val="24"/>
          <w:szCs w:val="24"/>
          <w:lang w:val="fr-FR"/>
        </w:rPr>
      </w:pPr>
      <w:bookmarkStart w:id="19" w:name="_Toc191547317"/>
      <w:r w:rsidRPr="00AD3643">
        <w:rPr>
          <w:rFonts w:ascii="Times New Roman" w:hAnsi="Times New Roman" w:cs="Times New Roman"/>
          <w:sz w:val="24"/>
          <w:szCs w:val="24"/>
          <w:lang w:val="ro-RO"/>
        </w:rPr>
        <w:t xml:space="preserve">     </w:t>
      </w:r>
      <w:bookmarkStart w:id="20" w:name="_Toc209450343"/>
      <w:bookmarkStart w:id="21" w:name="_Toc241066018"/>
      <w:r w:rsidR="00A64AA1" w:rsidRPr="00AD3643">
        <w:rPr>
          <w:rFonts w:ascii="Times New Roman" w:hAnsi="Times New Roman" w:cs="Times New Roman"/>
          <w:sz w:val="24"/>
          <w:szCs w:val="24"/>
          <w:lang w:val="fr-FR"/>
        </w:rPr>
        <w:t>Documente de referință (internaționale, naționale, interne)</w:t>
      </w:r>
      <w:bookmarkEnd w:id="19"/>
      <w:bookmarkEnd w:id="20"/>
      <w:bookmarkEnd w:id="21"/>
    </w:p>
    <w:p w14:paraId="169E4F20" w14:textId="77777777" w:rsidR="00E95E33" w:rsidRPr="00AD3643" w:rsidRDefault="00E95E33" w:rsidP="00C95D06">
      <w:pPr>
        <w:pStyle w:val="ListParagraph0"/>
        <w:spacing w:after="0" w:line="240" w:lineRule="auto"/>
        <w:contextualSpacing w:val="0"/>
        <w:jc w:val="both"/>
        <w:rPr>
          <w:rFonts w:ascii="Times New Roman" w:hAnsi="Times New Roman" w:cs="Times New Roman"/>
          <w:sz w:val="24"/>
          <w:szCs w:val="24"/>
          <w:lang w:val="fr-FR"/>
        </w:rPr>
      </w:pPr>
    </w:p>
    <w:p w14:paraId="4B05147D" w14:textId="77777777" w:rsidR="002C6627" w:rsidRPr="00AD3643" w:rsidRDefault="004A1065" w:rsidP="00C95D06">
      <w:pPr>
        <w:pStyle w:val="ListParagraph0"/>
        <w:numPr>
          <w:ilvl w:val="2"/>
          <w:numId w:val="2"/>
        </w:numPr>
        <w:spacing w:after="0" w:line="240" w:lineRule="auto"/>
        <w:jc w:val="both"/>
        <w:rPr>
          <w:rFonts w:ascii="Times New Roman" w:hAnsi="Times New Roman" w:cs="Times New Roman"/>
          <w:sz w:val="24"/>
          <w:szCs w:val="24"/>
          <w:lang w:val="it-IT"/>
        </w:rPr>
      </w:pPr>
      <w:r w:rsidRPr="00AD3643">
        <w:rPr>
          <w:rFonts w:ascii="Times New Roman" w:hAnsi="Times New Roman" w:cs="Times New Roman"/>
          <w:color w:val="222222"/>
          <w:sz w:val="24"/>
          <w:szCs w:val="24"/>
          <w:shd w:val="clear" w:color="auto" w:fill="FFFFFF"/>
          <w:lang w:val="it-IT"/>
        </w:rPr>
        <w:t>Codul Aerian al Republicii Moldova nr. 301 din 21.12.2017.</w:t>
      </w:r>
    </w:p>
    <w:p w14:paraId="573C23BA" w14:textId="002C9718" w:rsidR="002C6627" w:rsidRPr="00AD3643" w:rsidRDefault="000A5510" w:rsidP="00C95D06">
      <w:pPr>
        <w:pStyle w:val="ListParagraph0"/>
        <w:numPr>
          <w:ilvl w:val="2"/>
          <w:numId w:val="2"/>
        </w:numPr>
        <w:spacing w:after="0" w:line="240" w:lineRule="auto"/>
        <w:jc w:val="both"/>
        <w:rPr>
          <w:rFonts w:ascii="Times New Roman" w:hAnsi="Times New Roman" w:cs="Times New Roman"/>
          <w:sz w:val="24"/>
          <w:szCs w:val="24"/>
          <w:lang w:val="it-IT"/>
        </w:rPr>
      </w:pPr>
      <w:r w:rsidRPr="00AD3643">
        <w:rPr>
          <w:rFonts w:ascii="Times New Roman" w:hAnsi="Times New Roman" w:cs="Times New Roman"/>
          <w:color w:val="222222"/>
          <w:sz w:val="24"/>
          <w:szCs w:val="24"/>
          <w:shd w:val="clear" w:color="auto" w:fill="FFFFFF"/>
          <w:lang w:val="it-IT"/>
        </w:rPr>
        <w:t>Regulamentul privind continuitatea navigabilităţii aeronavelor şi a produselor, reperelor şi dispozitivelor aeronautice şi autorizarea organizațiilor şi a personalului cu atribuţii în domeniu</w:t>
      </w:r>
      <w:r w:rsidR="004A1065" w:rsidRPr="00AD3643">
        <w:rPr>
          <w:rFonts w:ascii="Times New Roman" w:hAnsi="Times New Roman" w:cs="Times New Roman"/>
          <w:color w:val="222222"/>
          <w:sz w:val="24"/>
          <w:szCs w:val="24"/>
          <w:shd w:val="clear" w:color="auto" w:fill="FFFFFF"/>
          <w:lang w:val="it-IT"/>
        </w:rPr>
        <w:t xml:space="preserve"> aprobat prin Hotărîrea Guvernului </w:t>
      </w:r>
      <w:r w:rsidR="00540C16" w:rsidRPr="00AD3643">
        <w:rPr>
          <w:rFonts w:ascii="Times New Roman" w:hAnsi="Times New Roman" w:cs="Times New Roman"/>
          <w:color w:val="222222"/>
          <w:sz w:val="24"/>
          <w:szCs w:val="24"/>
          <w:shd w:val="clear" w:color="auto" w:fill="FFFFFF"/>
          <w:lang w:val="ro-RO"/>
        </w:rPr>
        <w:t>465/2025</w:t>
      </w:r>
      <w:r w:rsidR="004A1065" w:rsidRPr="00AD3643">
        <w:rPr>
          <w:rFonts w:ascii="Times New Roman" w:hAnsi="Times New Roman" w:cs="Times New Roman"/>
          <w:color w:val="222222"/>
          <w:sz w:val="24"/>
          <w:szCs w:val="24"/>
          <w:shd w:val="clear" w:color="auto" w:fill="FFFFFF"/>
          <w:lang w:val="it-IT"/>
        </w:rPr>
        <w:t>.</w:t>
      </w:r>
    </w:p>
    <w:p w14:paraId="4FA9888D" w14:textId="551C095D" w:rsidR="008B59F1" w:rsidRPr="00AD3643" w:rsidRDefault="004A1065" w:rsidP="00C95D06">
      <w:pPr>
        <w:pStyle w:val="ListParagraph0"/>
        <w:numPr>
          <w:ilvl w:val="2"/>
          <w:numId w:val="2"/>
        </w:numPr>
        <w:spacing w:after="0" w:line="240" w:lineRule="auto"/>
        <w:jc w:val="both"/>
        <w:rPr>
          <w:rFonts w:ascii="Times New Roman" w:hAnsi="Times New Roman" w:cs="Times New Roman"/>
          <w:sz w:val="24"/>
          <w:szCs w:val="24"/>
          <w:lang w:val="it-IT"/>
        </w:rPr>
      </w:pPr>
      <w:r w:rsidRPr="00AD3643">
        <w:rPr>
          <w:rFonts w:ascii="Times New Roman" w:hAnsi="Times New Roman" w:cs="Times New Roman"/>
          <w:color w:val="222222"/>
          <w:sz w:val="24"/>
          <w:szCs w:val="24"/>
          <w:shd w:val="clear" w:color="auto" w:fill="FFFFFF"/>
          <w:lang w:val="it-IT"/>
        </w:rPr>
        <w:t>Regulamentul privind procedurile administrative referitoare la operaţiunile aeriene</w:t>
      </w:r>
      <w:r w:rsidRPr="00AD3643">
        <w:rPr>
          <w:rFonts w:ascii="Times New Roman" w:hAnsi="Times New Roman" w:cs="Times New Roman"/>
          <w:color w:val="222222"/>
          <w:sz w:val="24"/>
          <w:szCs w:val="24"/>
          <w:shd w:val="clear" w:color="auto" w:fill="FFFFFF"/>
          <w:lang w:val="it-IT"/>
        </w:rPr>
        <w:br/>
        <w:t xml:space="preserve">aprobat prin Hotărîrea Guvernului </w:t>
      </w:r>
      <w:r w:rsidR="004D01BB" w:rsidRPr="00AD3643">
        <w:rPr>
          <w:rFonts w:ascii="Times New Roman" w:hAnsi="Times New Roman" w:cs="Times New Roman"/>
          <w:color w:val="222222"/>
          <w:sz w:val="24"/>
          <w:szCs w:val="24"/>
          <w:shd w:val="clear" w:color="auto" w:fill="FFFFFF"/>
          <w:lang w:val="it-IT"/>
        </w:rPr>
        <w:t>612</w:t>
      </w:r>
      <w:r w:rsidRPr="00AD3643">
        <w:rPr>
          <w:rFonts w:ascii="Times New Roman" w:hAnsi="Times New Roman" w:cs="Times New Roman"/>
          <w:color w:val="222222"/>
          <w:sz w:val="24"/>
          <w:szCs w:val="24"/>
          <w:shd w:val="clear" w:color="auto" w:fill="FFFFFF"/>
          <w:lang w:val="it-IT"/>
        </w:rPr>
        <w:t>/20</w:t>
      </w:r>
      <w:r w:rsidR="004D01BB" w:rsidRPr="00AD3643">
        <w:rPr>
          <w:rFonts w:ascii="Times New Roman" w:hAnsi="Times New Roman" w:cs="Times New Roman"/>
          <w:color w:val="222222"/>
          <w:sz w:val="24"/>
          <w:szCs w:val="24"/>
          <w:shd w:val="clear" w:color="auto" w:fill="FFFFFF"/>
          <w:lang w:val="it-IT"/>
        </w:rPr>
        <w:t>22</w:t>
      </w:r>
      <w:r w:rsidRPr="00AD3643">
        <w:rPr>
          <w:rFonts w:ascii="Times New Roman" w:hAnsi="Times New Roman" w:cs="Times New Roman"/>
          <w:color w:val="222222"/>
          <w:sz w:val="24"/>
          <w:szCs w:val="24"/>
          <w:shd w:val="clear" w:color="auto" w:fill="FFFFFF"/>
          <w:lang w:val="it-IT"/>
        </w:rPr>
        <w:t>. </w:t>
      </w:r>
      <w:r w:rsidR="00A64AA1" w:rsidRPr="00AD3643">
        <w:rPr>
          <w:rFonts w:ascii="Times New Roman" w:hAnsi="Times New Roman" w:cs="Times New Roman"/>
          <w:sz w:val="24"/>
          <w:szCs w:val="24"/>
          <w:lang w:val="it-IT"/>
        </w:rPr>
        <w:br w:type="page"/>
      </w:r>
    </w:p>
    <w:p w14:paraId="74E1915B" w14:textId="77777777" w:rsidR="00E52167" w:rsidRPr="00AD3643" w:rsidRDefault="00E52167" w:rsidP="00C95D06">
      <w:pPr>
        <w:pStyle w:val="Heading1"/>
        <w:spacing w:after="0"/>
        <w:jc w:val="both"/>
        <w:rPr>
          <w:rFonts w:ascii="Times New Roman" w:hAnsi="Times New Roman" w:cs="Times New Roman"/>
          <w:sz w:val="24"/>
          <w:szCs w:val="24"/>
          <w:lang w:val="en-US"/>
        </w:rPr>
      </w:pPr>
      <w:bookmarkStart w:id="22" w:name="toc_sec_0003"/>
      <w:bookmarkStart w:id="23" w:name="_Toc241066019"/>
      <w:r w:rsidRPr="00AD3643">
        <w:rPr>
          <w:rFonts w:ascii="Times New Roman" w:hAnsi="Times New Roman" w:cs="Times New Roman"/>
          <w:sz w:val="24"/>
          <w:szCs w:val="24"/>
          <w:lang w:val="en-US"/>
        </w:rPr>
        <w:lastRenderedPageBreak/>
        <w:t>AMC/GM TO ANNEX II (PART-145)</w:t>
      </w:r>
      <w:bookmarkEnd w:id="22"/>
      <w:bookmarkEnd w:id="23"/>
    </w:p>
    <w:p w14:paraId="61076F93" w14:textId="77777777" w:rsidR="00E52167" w:rsidRPr="00AD3643" w:rsidRDefault="00E52167" w:rsidP="00C95D06">
      <w:pPr>
        <w:pStyle w:val="Heading1"/>
        <w:spacing w:after="0"/>
        <w:jc w:val="both"/>
        <w:rPr>
          <w:rFonts w:ascii="Times New Roman" w:hAnsi="Times New Roman" w:cs="Times New Roman"/>
          <w:sz w:val="24"/>
          <w:szCs w:val="24"/>
          <w:lang w:val="en-GB"/>
        </w:rPr>
      </w:pPr>
      <w:bookmarkStart w:id="24" w:name="toc_sec_0004"/>
      <w:bookmarkStart w:id="25" w:name="_Toc241066020"/>
      <w:r w:rsidRPr="00AD3643">
        <w:rPr>
          <w:rFonts w:ascii="Times New Roman" w:hAnsi="Times New Roman" w:cs="Times New Roman"/>
          <w:sz w:val="24"/>
          <w:szCs w:val="24"/>
          <w:lang w:val="en-US"/>
        </w:rPr>
        <w:t>GENERAL</w:t>
      </w:r>
      <w:bookmarkEnd w:id="24"/>
      <w:r w:rsidRPr="00AD3643">
        <w:rPr>
          <w:rFonts w:ascii="Times New Roman" w:hAnsi="Times New Roman" w:cs="Times New Roman"/>
          <w:sz w:val="24"/>
          <w:szCs w:val="24"/>
          <w:lang w:val="en-US"/>
        </w:rPr>
        <w:t xml:space="preserve"> REQUIREMENTS</w:t>
      </w:r>
      <w:bookmarkEnd w:id="25"/>
    </w:p>
    <w:p w14:paraId="7550488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6" w:name="toc_sec_0005"/>
      <w:bookmarkStart w:id="27" w:name="_Toc241066021"/>
      <w:r w:rsidRPr="00AD3643">
        <w:rPr>
          <w:rFonts w:ascii="Times New Roman" w:hAnsi="Times New Roman" w:cs="Times New Roman"/>
          <w:sz w:val="24"/>
          <w:szCs w:val="24"/>
          <w:lang w:val="en-US"/>
        </w:rPr>
        <w:t>GM1 to Annex II (Part-145) Definitions</w:t>
      </w:r>
      <w:bookmarkEnd w:id="26"/>
      <w:bookmarkEnd w:id="27"/>
    </w:p>
    <w:p w14:paraId="23FBFD26" w14:textId="77777777" w:rsidR="00E52167" w:rsidRPr="00AD3643" w:rsidRDefault="00E52167" w:rsidP="00C95D06">
      <w:pPr>
        <w:spacing w:after="0"/>
        <w:jc w:val="both"/>
        <w:rPr>
          <w:rFonts w:ascii="Times New Roman" w:hAnsi="Times New Roman" w:cs="Times New Roman"/>
          <w:sz w:val="24"/>
          <w:szCs w:val="24"/>
          <w:lang w:val="en-US"/>
        </w:rPr>
      </w:pPr>
    </w:p>
    <w:p w14:paraId="152B700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For the purpose of the AMC &amp; GM to Part-145, the following definitions are used:</w:t>
      </w:r>
    </w:p>
    <w:tbl>
      <w:tblPr>
        <w:tblW w:w="9923" w:type="dxa"/>
        <w:jc w:val="center"/>
        <w:tblLayout w:type="fixed"/>
        <w:tblLook w:val="04A0" w:firstRow="1" w:lastRow="0" w:firstColumn="1" w:lastColumn="0" w:noHBand="0" w:noVBand="1"/>
      </w:tblPr>
      <w:tblGrid>
        <w:gridCol w:w="1985"/>
        <w:gridCol w:w="7938"/>
      </w:tblGrid>
      <w:tr w:rsidR="00E52167" w:rsidRPr="00AD3643" w14:paraId="46AAFE40" w14:textId="77777777" w:rsidTr="003C666F">
        <w:trPr>
          <w:cantSplit/>
          <w:tblHeader/>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3E7477A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Term</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51E4E3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Definition / Reference</w:t>
            </w:r>
          </w:p>
        </w:tc>
      </w:tr>
      <w:tr w:rsidR="00E52167" w:rsidRPr="00AD3643" w14:paraId="5289F2C8"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28E8C38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Audit</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4A1E99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sz w:val="24"/>
                <w:szCs w:val="24"/>
                <w:lang w:val="en-US"/>
              </w:rPr>
              <w:t xml:space="preserve">refers to a systematic, independent, and documented process for obtaining evidence, and evaluating it objectively to determine the extent to which requirements are complied with. </w:t>
            </w:r>
            <w:r w:rsidRPr="00AD3643">
              <w:rPr>
                <w:rFonts w:ascii="Times New Roman" w:eastAsia="Times New Roman" w:hAnsi="Times New Roman" w:cs="Times New Roman"/>
                <w:sz w:val="24"/>
                <w:szCs w:val="24"/>
              </w:rPr>
              <w:t>Note: Audits may include inspections.</w:t>
            </w:r>
          </w:p>
        </w:tc>
      </w:tr>
      <w:tr w:rsidR="00E52167" w:rsidRPr="003B4864" w14:paraId="5E33BBC4"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133C8B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Assessment</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AA7B0B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in the context of management system performance monitoring, continuous improvement and oversight, refers to a planned and documented activity performed by competent personnel to evaluate and analyse the achieved level of performance and maturity in relation to the organisation’s policy and objectives. Note: An assessment focuses on desirable outcomes and the overall performance, looking at the organisation as a whole. The main objective of the assessment is to identify the strengths and weaknesses to drive continual improvement. Remark: For ‘risk assessment’, please refer to the definition below.</w:t>
            </w:r>
          </w:p>
        </w:tc>
      </w:tr>
      <w:tr w:rsidR="00E52167" w:rsidRPr="00AD3643" w14:paraId="3F1D5455"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1B7332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Base maintenance</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6C316C8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sz w:val="24"/>
                <w:szCs w:val="24"/>
              </w:rPr>
              <w:t>Ref. AMC1 145.A.10</w:t>
            </w:r>
          </w:p>
        </w:tc>
      </w:tr>
      <w:tr w:rsidR="00E52167" w:rsidRPr="003B4864" w14:paraId="115DC5C7"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633910D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Base maintenance hangar</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F47679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refers to a closed facility that can house an aircraft and protect it from environmental conditions.</w:t>
            </w:r>
          </w:p>
        </w:tc>
      </w:tr>
      <w:tr w:rsidR="00E52167" w:rsidRPr="003B4864" w14:paraId="352E51B3"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5579266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Competency</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23C41A3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a combination of individual skills, practical and theoretical knowledge, attitude, training, and experience.</w:t>
            </w:r>
          </w:p>
        </w:tc>
      </w:tr>
      <w:tr w:rsidR="00E52167" w:rsidRPr="003B4864" w14:paraId="059154D5"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4D010FD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Correction</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3CC8FCA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the action to eliminate a detected non-compliance.</w:t>
            </w:r>
          </w:p>
        </w:tc>
      </w:tr>
      <w:tr w:rsidR="00E52167" w:rsidRPr="003B4864" w14:paraId="03BCEA12"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337031C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Corrective action</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7232037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the action to eliminate or mitigate the root cause(s) and prevent the recurrence of an existing detected non-compliance, or other undesirable conditions or situations. Proper determination of the root cause(s) is crucial for defining effective corrective actions to prevent reoccurrence.</w:t>
            </w:r>
          </w:p>
        </w:tc>
      </w:tr>
      <w:tr w:rsidR="00E52167" w:rsidRPr="003B4864" w14:paraId="691D1022"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16C5A3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Error</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34CE4AE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an action or inaction by a person that may lead to deviations from accepted procedures or regulations. Note: Errors are often associated with occasions when a planned sequence of mental or physical activities either fails to achieve its intended outcome, or is not appropriate with regard to the intended outcome, and when results cannot be attributed purely to chance.</w:t>
            </w:r>
          </w:p>
        </w:tc>
      </w:tr>
      <w:tr w:rsidR="00E52167" w:rsidRPr="003B4864" w14:paraId="178A2835"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B00C9E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lastRenderedPageBreak/>
              <w:t>Fatigue</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84D462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a physiological state of reduced mental or physical performance capability resulting from sleep loss or extended wakefulness, circadian phase, or workload (mental and/or physical activity) that can impair a person’s alertness and ability to safely perform his or her tasks.</w:t>
            </w:r>
          </w:p>
        </w:tc>
      </w:tr>
      <w:tr w:rsidR="00E52167" w:rsidRPr="003B4864" w14:paraId="539B1698"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2A35366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Hazard</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5674A2E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a condition or an object with the potential to cause or contribute to an aircraft incident or accident.</w:t>
            </w:r>
          </w:p>
        </w:tc>
      </w:tr>
      <w:tr w:rsidR="00E52167" w:rsidRPr="003B4864" w14:paraId="5B11690E"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7FBE9D6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Human factors</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4EA996F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anything that affects human performance, which means principles that apply to aeronautical activities, and which seek safe interface between the human and other system components by proper consideration of human performance.</w:t>
            </w:r>
          </w:p>
        </w:tc>
      </w:tr>
      <w:tr w:rsidR="00E52167" w:rsidRPr="003B4864" w14:paraId="500C79F3"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45F82A6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Human performance</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5C80B0D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refers to human capabilities and limitations which have an impact on the safety and efficiency of aeronautical activities.</w:t>
            </w:r>
          </w:p>
        </w:tc>
      </w:tr>
      <w:tr w:rsidR="00E52167" w:rsidRPr="003B4864" w14:paraId="205CB54F"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9AF3D5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Inspection</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22CFFE5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in the context of compliance monitoring and oversight, refers to an independent documented conformity evaluation by observation and judgement accompanied, as appropriate, by measurement, testing or gauging, in order to verify compliance with applicable requirements. Note: Inspection may be part of an audit (e.g. product audit), but may also be conducted outside of the normal audit plan; for example, to verify closure of a particular finding.</w:t>
            </w:r>
          </w:p>
        </w:tc>
      </w:tr>
      <w:tr w:rsidR="00E52167" w:rsidRPr="00A46415" w14:paraId="4948808A"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FA4548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Just culture</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7E4C1EDA" w14:textId="3646FFA5" w:rsidR="00E52167" w:rsidRPr="00A46415" w:rsidRDefault="00E52167" w:rsidP="00C95D06">
            <w:pPr>
              <w:spacing w:after="0"/>
              <w:jc w:val="both"/>
              <w:rPr>
                <w:rFonts w:ascii="Times New Roman" w:hAnsi="Times New Roman" w:cs="Times New Roman"/>
                <w:sz w:val="24"/>
                <w:szCs w:val="24"/>
                <w:lang w:val="en-US"/>
              </w:rPr>
            </w:pPr>
            <w:r w:rsidRPr="00A46415">
              <w:rPr>
                <w:rFonts w:ascii="Times New Roman" w:eastAsia="Times New Roman" w:hAnsi="Times New Roman" w:cs="Times New Roman"/>
                <w:sz w:val="24"/>
                <w:szCs w:val="24"/>
                <w:lang w:val="en-US"/>
              </w:rPr>
              <w:t xml:space="preserve">Ref. </w:t>
            </w:r>
            <w:r w:rsidR="006C5B14">
              <w:rPr>
                <w:rFonts w:ascii="Times New Roman" w:eastAsia="Times New Roman" w:hAnsi="Times New Roman" w:cs="Times New Roman"/>
                <w:sz w:val="24"/>
                <w:szCs w:val="24"/>
                <w:lang w:val="en-US"/>
              </w:rPr>
              <w:t>RAC-RAASEAC</w:t>
            </w:r>
          </w:p>
        </w:tc>
      </w:tr>
      <w:tr w:rsidR="00E52167" w:rsidRPr="00AD3643" w14:paraId="0BBC18E8"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7D7804F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Line maintenance</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063B24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sz w:val="24"/>
                <w:szCs w:val="24"/>
              </w:rPr>
              <w:t>Ref. AMC1 145.A.10</w:t>
            </w:r>
          </w:p>
        </w:tc>
      </w:tr>
      <w:tr w:rsidR="00E52167" w:rsidRPr="003B4864" w14:paraId="0859E9D5"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4A14231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Near miss</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1933B63" w14:textId="6F0B6F8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 xml:space="preserve">is an event in which an occurrence to be mandatorily reported according to </w:t>
            </w:r>
            <w:r w:rsidR="006C5B14" w:rsidRPr="006C5B14">
              <w:rPr>
                <w:rFonts w:ascii="Times New Roman" w:eastAsia="Times New Roman" w:hAnsi="Times New Roman" w:cs="Times New Roman"/>
                <w:sz w:val="24"/>
                <w:szCs w:val="24"/>
                <w:lang w:val="en-US"/>
              </w:rPr>
              <w:t xml:space="preserve">RAC-RAASEAC </w:t>
            </w:r>
            <w:r w:rsidRPr="00AD3643">
              <w:rPr>
                <w:rFonts w:ascii="Times New Roman" w:eastAsia="Times New Roman" w:hAnsi="Times New Roman" w:cs="Times New Roman"/>
                <w:sz w:val="24"/>
                <w:szCs w:val="24"/>
                <w:lang w:val="en-US"/>
              </w:rPr>
              <w:t>was narrowly averted or avoided. Example: A mechanic on rechecking his or her work at the end of a task realises that one work card step was not properly carried out.</w:t>
            </w:r>
          </w:p>
        </w:tc>
      </w:tr>
      <w:tr w:rsidR="00E52167" w:rsidRPr="003B4864" w14:paraId="59C28274"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7C6C51F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Organisational factor</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62906D6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a condition that affects the effectiveness of safety risk controls, related to the culture, policies, processes, resources, and workplace of an organisation.</w:t>
            </w:r>
          </w:p>
        </w:tc>
      </w:tr>
      <w:tr w:rsidR="00E52167" w:rsidRPr="003B4864" w14:paraId="2F760868"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6137B2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Oversight planning cycle</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46846F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refers to the time frame within which all areas of the approval and all processes should be reviewed by the competent authority by means of audits and inspections.</w:t>
            </w:r>
          </w:p>
        </w:tc>
      </w:tr>
      <w:tr w:rsidR="00E52167" w:rsidRPr="003B4864" w14:paraId="072E8AED"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5E2D3F7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Oversight programme</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8E9AA1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refers to the detailed oversight schedule that defines the number of audits and inspections, the scope and duration of each audit and inspection, including details of product audits and locations, as appropriate, to be performed by the competent authority, and the tentative time frame for performing each audit and inspection.</w:t>
            </w:r>
          </w:p>
        </w:tc>
      </w:tr>
      <w:tr w:rsidR="00E52167" w:rsidRPr="003B4864" w14:paraId="3620AF55"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F94486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Preventive action</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6AAEBB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the action to eliminate the cause of a potential non-compliance or other undesirable potential situations.</w:t>
            </w:r>
          </w:p>
        </w:tc>
      </w:tr>
      <w:tr w:rsidR="00E52167" w:rsidRPr="003B4864" w14:paraId="7CEAFC84"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1EF3150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lastRenderedPageBreak/>
              <w:t>Risk assessment</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6E7AED3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an evaluation based on engineering and operational judgement and/or analysis methods in order to establish whether the achieved or perceived risk is acceptable or tolerable.</w:t>
            </w:r>
          </w:p>
        </w:tc>
      </w:tr>
      <w:tr w:rsidR="00E52167" w:rsidRPr="003B4864" w14:paraId="0A35DBF0"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5DE6544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Safety culture</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683D140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is an enduring set of values, norms, attitudes, and practices within an organisation concerned with minimising the exposure of the workforce and the general public to dangerous or hazardous conditions. In a positive safety culture, a shared concern for, commitment to, and accountability for safety is promoted.</w:t>
            </w:r>
          </w:p>
        </w:tc>
      </w:tr>
      <w:tr w:rsidR="00E52167" w:rsidRPr="003B4864" w14:paraId="64029B37"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4F432AA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Safety risk</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5EC91A4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refers to the predicted probability and severity of the consequences or outcomes of a hazard.</w:t>
            </w:r>
          </w:p>
        </w:tc>
      </w:tr>
      <w:tr w:rsidR="00E52167" w:rsidRPr="003B4864" w14:paraId="6898EA19"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5309835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Safety training</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2F0186B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refers to dedicated training to support safety management policies and processes, including human factors training. Note: The main purpose of the safety training programme is to ensure that personnel at all levels of the organisation maintain their competency to fulfil their roles safely. Safety training should, in particular, consider the safety knowledge derived from hazard identification and risk management processes, and support the fostering of a positive safety culture. Note: Safety management training refers to specific training for the staff involved in safety management functions in accordance with point 145.A.30(ca) or 145.A.200(a)(3).</w:t>
            </w:r>
          </w:p>
        </w:tc>
      </w:tr>
      <w:tr w:rsidR="00E52167" w:rsidRPr="003B4864" w14:paraId="197FF0C6" w14:textId="77777777" w:rsidTr="003C666F">
        <w:trPr>
          <w:cantSplit/>
          <w:jc w:val="center"/>
        </w:trPr>
        <w:tc>
          <w:tcPr>
            <w:tcW w:w="1985"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4D59AAF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eastAsia="Times New Roman" w:hAnsi="Times New Roman" w:cs="Times New Roman"/>
                <w:b/>
                <w:sz w:val="24"/>
                <w:szCs w:val="24"/>
              </w:rPr>
              <w:t>Working days</w:t>
            </w:r>
          </w:p>
        </w:tc>
        <w:tc>
          <w:tcPr>
            <w:tcW w:w="7938" w:type="dxa"/>
            <w:tcBorders>
              <w:top w:val="single" w:sz="4" w:space="0" w:color="B7B7B7"/>
              <w:left w:val="single" w:sz="4" w:space="0" w:color="B7B7B7"/>
              <w:bottom w:val="single" w:sz="4" w:space="0" w:color="B7B7B7"/>
              <w:right w:val="single" w:sz="4" w:space="0" w:color="B7B7B7"/>
            </w:tcBorders>
            <w:tcMar>
              <w:top w:w="90" w:type="dxa"/>
              <w:left w:w="100" w:type="dxa"/>
              <w:bottom w:w="90" w:type="dxa"/>
              <w:right w:w="100" w:type="dxa"/>
            </w:tcMar>
            <w:vAlign w:val="center"/>
          </w:tcPr>
          <w:p w14:paraId="040045B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eastAsia="Times New Roman" w:hAnsi="Times New Roman" w:cs="Times New Roman"/>
                <w:sz w:val="24"/>
                <w:szCs w:val="24"/>
                <w:lang w:val="en-US"/>
              </w:rPr>
              <w:t>refer to days between and including Monday to Friday, not including public holidays.</w:t>
            </w:r>
          </w:p>
        </w:tc>
      </w:tr>
    </w:tbl>
    <w:p w14:paraId="5C44AD9A" w14:textId="77777777" w:rsidR="00E52167" w:rsidRPr="00AD3643" w:rsidRDefault="00E52167" w:rsidP="00C95D06">
      <w:pPr>
        <w:pStyle w:val="Heading1"/>
        <w:spacing w:after="0"/>
        <w:jc w:val="both"/>
        <w:rPr>
          <w:rFonts w:ascii="Times New Roman" w:hAnsi="Times New Roman" w:cs="Times New Roman"/>
          <w:sz w:val="24"/>
          <w:szCs w:val="24"/>
          <w:lang w:val="en-US"/>
        </w:rPr>
      </w:pPr>
      <w:bookmarkStart w:id="28" w:name="toc_sec_0006"/>
      <w:bookmarkStart w:id="29" w:name="_Toc241066022"/>
      <w:r w:rsidRPr="00AD3643">
        <w:rPr>
          <w:rFonts w:ascii="Times New Roman" w:hAnsi="Times New Roman" w:cs="Times New Roman"/>
          <w:sz w:val="24"/>
          <w:szCs w:val="24"/>
          <w:lang w:val="en-US"/>
        </w:rPr>
        <w:t>SECTION A - TECHNICAL AND ORGANISATION REQUIREMENTS</w:t>
      </w:r>
      <w:bookmarkEnd w:id="28"/>
      <w:bookmarkEnd w:id="29"/>
    </w:p>
    <w:p w14:paraId="51C4C65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0" w:name="toc_sec_0007"/>
      <w:bookmarkStart w:id="31" w:name="_Toc241066023"/>
      <w:r w:rsidRPr="00AD3643">
        <w:rPr>
          <w:rFonts w:ascii="Times New Roman" w:hAnsi="Times New Roman" w:cs="Times New Roman"/>
          <w:sz w:val="24"/>
          <w:szCs w:val="24"/>
          <w:lang w:val="en-US"/>
        </w:rPr>
        <w:t>AMC1 145.A.10 Scope</w:t>
      </w:r>
      <w:bookmarkEnd w:id="30"/>
      <w:bookmarkEnd w:id="31"/>
    </w:p>
    <w:p w14:paraId="04F99F79"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LINE MAINTENANCE AND BASE MAINTENANCE</w:t>
      </w:r>
    </w:p>
    <w:p w14:paraId="77678A58" w14:textId="4F0FECF4"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Line maintenance’ refers to limited maintenance for the aircraft suitable to be carried out whilst the aircraft remains in the air operation environment. Line maintenance may include:</w:t>
      </w:r>
    </w:p>
    <w:p w14:paraId="5A33444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trouble shooting;</w:t>
      </w:r>
    </w:p>
    <w:p w14:paraId="7BD06BB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defect rectification;</w:t>
      </w:r>
    </w:p>
    <w:p w14:paraId="05C1C76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component replacement with use of external test equipment if required. Component replacement may include components such as engines and propellers;</w:t>
      </w:r>
    </w:p>
    <w:p w14:paraId="760B14E0" w14:textId="09808D8D"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maintenance that  will detect obvious unsatisfactory conditions/discrepancies/malfunctions, but does not require extensive in-depth</w:t>
      </w:r>
    </w:p>
    <w:p w14:paraId="222CD58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inspection. It may also include internal structure, systems and powerplant items which are visible through quick opening access panels/doors/ports;</w:t>
      </w:r>
    </w:p>
    <w:p w14:paraId="2D0780B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repairs, modifications and other maintenance tasks which do not require extensive disassembly and can be accomplished by simple means.</w:t>
      </w:r>
    </w:p>
    <w:p w14:paraId="13E1D7EE" w14:textId="310235C4"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Base maintenance’ refers to any maintenance for the aircraft other than line maintenance.</w:t>
      </w:r>
    </w:p>
    <w:p w14:paraId="5A258B1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(c)   Organisations maintaining aircraft should have a procedure to determine whether the tasks or groups of tasks to be carried out fall under the line maintenance or base maintenance scope of the organisation, with due regard to the expected duration of the maintenance, number and type of tasks, shifts and disciplines involved, work environment, etc. For temporary or occasional cases, the organisation may also have a procedure which allows, subject to a task assessment (including all relevant aspects and conditions), to conduct a base maintenance task under line maintenance environment.</w:t>
      </w:r>
    </w:p>
    <w:p w14:paraId="6D55018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In particular, maintenance tasks of aircraft subject to ‘progressive’ or ‘equalised’ maintenance programmes should be individually assessed in respect of such procedure to ensure that all the tasks within the particular check can be carried out safely and to the required standards at the designated line maintenance station.</w:t>
      </w:r>
    </w:p>
    <w:p w14:paraId="7129CAD9"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32" w:name="toc_sec_0008"/>
      <w:bookmarkStart w:id="33" w:name="_Toc241066024"/>
      <w:r w:rsidRPr="009F0D3D">
        <w:rPr>
          <w:rFonts w:ascii="Times New Roman" w:hAnsi="Times New Roman" w:cs="Times New Roman"/>
          <w:sz w:val="24"/>
          <w:szCs w:val="24"/>
          <w:lang w:val="en-US"/>
        </w:rPr>
        <w:t>GM1 145.A.10 Scope</w:t>
      </w:r>
      <w:bookmarkEnd w:id="32"/>
      <w:bookmarkEnd w:id="33"/>
    </w:p>
    <w:p w14:paraId="26A311E1"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SMALL ORGANISATIONS</w:t>
      </w:r>
    </w:p>
    <w:p w14:paraId="4BA21707" w14:textId="0A7EB9E5"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This Guidance Material (GM) provides guidance on how the following small organisations satisfy the</w:t>
      </w:r>
      <w:r w:rsidR="001E707A">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intent of Part-145:</w:t>
      </w:r>
    </w:p>
    <w:p w14:paraId="245A31F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Organisations that only employ one person, who carries out the certification function and other functions, and that are approved under Part-145 may use the alternatives provided below limited to the following terms of approval:</w:t>
      </w:r>
    </w:p>
    <w:p w14:paraId="333AF8E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Class A2 Base and line maintenance of aeroplanes of 5 700 kg maximum take-off mass</w:t>
      </w:r>
    </w:p>
    <w:p w14:paraId="786C075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(MTOM) or less (with piston engines only)</w:t>
      </w:r>
    </w:p>
    <w:p w14:paraId="636288B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Class A3 Base and line maintenance of single-engined helicopters of 3 175 kg MTOM or less</w:t>
      </w:r>
    </w:p>
    <w:p w14:paraId="5624CFD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Class A4 Aircraft other than A1, A2 and A3 aircraft</w:t>
      </w:r>
    </w:p>
    <w:p w14:paraId="5D465DB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Class B2 Piston engines with maximum output of less than 450 HP</w:t>
      </w:r>
    </w:p>
    <w:p w14:paraId="6F873EC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Class C Components</w:t>
      </w:r>
    </w:p>
    <w:p w14:paraId="328042B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Class D1 Non-destructive testing 145.A.30(b): The minimum requirement is for one full-time person who meets the Part-66 requirements for certifying staff and holds the position of ‘accountable manager, safety manager, maintenance engineer and is also certifying staff and, if applicable, airworthiness review staff’. No other person may issue a certificate of release to service and therefore if that person is absent, no maintenance may be released during such absence.</w:t>
      </w:r>
    </w:p>
    <w:p w14:paraId="7D8B57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independent audit element of the compliance monitoring function of point 145.A.200(a)(6) may be subcontracted to an appropriate organisation approved under Part-145 or contracted to a person with appropriate technical knowledge and extensive experience of audits, working under the management system of the organisation, with the agreement of the competent authority. Note: ‘Full-time’ for the purpose of Part-145 means not less than 35 hrs per week except during vacation periods.</w:t>
      </w:r>
    </w:p>
    <w:p w14:paraId="3CC0033A" w14:textId="7085F931"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   145.A.35. In the case of an approval based on one person using an independent audit monitoring arrangement as referred to in point (1), the requirement for a record of certifying staff is satisfied by the submission to and acceptance by the competent authority of the MOE. With only one person, the requirement for a separate record of authorisation is unnecessary because the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3 certificate defines the</w:t>
      </w:r>
      <w:r w:rsidR="00E852D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authorisation. An appropriate statement, to reflect this situation, should be included in the exposition.</w:t>
      </w:r>
    </w:p>
    <w:p w14:paraId="2D4896B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145.A.200(a)(6). It is the responsibility of the organisation or person referred to in point</w:t>
      </w:r>
    </w:p>
    <w:p w14:paraId="54CBEC9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(1) to make a minimum of two on-site audits every year, and it is the responsibility of this organisation or person to carry out these activities on the basis of one pre-announced visit and one unannounced visit to the maintenance organisation. It is the responsibility of the Part-145 organisation to ensure that effective implementation of all corrective actions takes place.</w:t>
      </w:r>
    </w:p>
    <w:p w14:paraId="2E40101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Recommended operating procedure for a Part-145 organisation based upon up to 10 persons involved in maintenance.</w:t>
      </w:r>
    </w:p>
    <w:p w14:paraId="6AB6BEF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145.A.30(b) and 145.A.30(c): The normal minimum requirement is for the employment on a full-time basis of two persons who meet the applicable requirements for certifying staff, whereby one holds the position of ‘maintenance engineer’ and the other holds the position of ‘compliance monitoring engineer’. Either person can assume the responsibilities of the accountable manager and safety manager provided that they can comply in full with the applicable elements of points 145.A.30(a) and 145.A.30(ca), but the ‘maintenance engineer’ is the certifying person in order to retain the independence of the ‘compliance monitoring engineer’ to carry out</w:t>
      </w:r>
    </w:p>
    <w:p w14:paraId="7FC7E2F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audits. Nothing prevents either engineer from undertaking maintenance tasks provided that the ‘maintenance engineer’ issues the certificate of release to service. This ‘maintenance engineer’ may also be nominated as airworthiness review staff to carry out airworthiness reviews and to issue the corresponding airworthiness review certificate for aircraft for which Part-ML applies in accordance with ML.A.903. The ‘compliance monitoring engineer’ should have similar qualifications and status to the ‘maintenance engineer’ for reasons of credibility, unless he/she has a proven track record in aircraft compliance monitoring, in which case some reduction in the extent of his or her maintenance qualifications may be permitted. In cases where the competent authority agrees that it is not practical for the organisation to nominate a person responsible for the independent audit of the compliance monitoring function, this element may be arranged in accordance with point (a)(1).</w:t>
      </w:r>
    </w:p>
    <w:p w14:paraId="325A04A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4" w:name="toc_sec_0009"/>
      <w:bookmarkStart w:id="35" w:name="_Toc241066025"/>
      <w:r w:rsidRPr="00AD3643">
        <w:rPr>
          <w:rFonts w:ascii="Times New Roman" w:hAnsi="Times New Roman" w:cs="Times New Roman"/>
          <w:sz w:val="24"/>
          <w:szCs w:val="24"/>
          <w:lang w:val="en-US"/>
        </w:rPr>
        <w:t>AMC1 145.A.15 Application for an organisation certificate</w:t>
      </w:r>
      <w:bookmarkEnd w:id="34"/>
      <w:bookmarkEnd w:id="35"/>
    </w:p>
    <w:p w14:paraId="4271510F" w14:textId="4273888E"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An application should be made on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2 (refer to Appendix III to AMC1 145.A.15) or an</w:t>
      </w:r>
    </w:p>
    <w:p w14:paraId="103F96D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equivalent form that is acceptable to the competent authority.</w:t>
      </w:r>
    </w:p>
    <w:p w14:paraId="53D908D0" w14:textId="5E257A38" w:rsidR="00E52167" w:rsidRPr="00AD3643" w:rsidRDefault="00C95D06" w:rsidP="00E852D2">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CAA</w:t>
      </w:r>
      <w:r w:rsidR="00E52167" w:rsidRPr="00AD3643">
        <w:rPr>
          <w:rFonts w:ascii="Times New Roman" w:hAnsi="Times New Roman" w:cs="Times New Roman"/>
          <w:sz w:val="24"/>
          <w:szCs w:val="24"/>
          <w:lang w:val="en-US"/>
        </w:rPr>
        <w:t xml:space="preserve"> Form 2 is valid for the application for other types of organisations pursuant to </w:t>
      </w:r>
      <w:r w:rsidR="00E852D2">
        <w:rPr>
          <w:rFonts w:ascii="Times New Roman" w:hAnsi="Times New Roman" w:cs="Times New Roman"/>
          <w:sz w:val="24"/>
          <w:szCs w:val="24"/>
          <w:lang w:val="en-US"/>
        </w:rPr>
        <w:t>GD 465/2025</w:t>
      </w:r>
      <w:r w:rsidR="00E52167" w:rsidRPr="00AD3643">
        <w:rPr>
          <w:rFonts w:ascii="Times New Roman" w:hAnsi="Times New Roman" w:cs="Times New Roman"/>
          <w:sz w:val="24"/>
          <w:szCs w:val="24"/>
          <w:lang w:val="en-US"/>
        </w:rPr>
        <w:t xml:space="preserve">. Organisations that apply for several certificates may do so using a single </w:t>
      </w:r>
      <w:r>
        <w:rPr>
          <w:rFonts w:ascii="Times New Roman" w:hAnsi="Times New Roman" w:cs="Times New Roman"/>
          <w:sz w:val="24"/>
          <w:szCs w:val="24"/>
          <w:lang w:val="en-US"/>
        </w:rPr>
        <w:t>CAA</w:t>
      </w:r>
      <w:r w:rsidR="00E52167" w:rsidRPr="00AD3643">
        <w:rPr>
          <w:rFonts w:ascii="Times New Roman" w:hAnsi="Times New Roman" w:cs="Times New Roman"/>
          <w:sz w:val="24"/>
          <w:szCs w:val="24"/>
          <w:lang w:val="en-US"/>
        </w:rPr>
        <w:t xml:space="preserve"> Form 2.</w:t>
      </w:r>
    </w:p>
    <w:p w14:paraId="4833E802"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6" w:name="toc_sec_0010"/>
      <w:bookmarkStart w:id="37" w:name="_Toc241066026"/>
      <w:r w:rsidRPr="00AD3643">
        <w:rPr>
          <w:rFonts w:ascii="Times New Roman" w:hAnsi="Times New Roman" w:cs="Times New Roman"/>
          <w:sz w:val="24"/>
          <w:szCs w:val="24"/>
          <w:lang w:val="en-US"/>
        </w:rPr>
        <w:t>AMC2 145.A.15 Application for an organisation certificate</w:t>
      </w:r>
      <w:bookmarkEnd w:id="36"/>
      <w:bookmarkEnd w:id="37"/>
    </w:p>
    <w:p w14:paraId="7BEA359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Draft documents should be submitted at the earliest opportunity so that the assessment of the application can begin. The initial certification or approval of changes cannot take place until the competent authority has received the completed documents.</w:t>
      </w:r>
    </w:p>
    <w:p w14:paraId="6317C80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This information, including the results of the pre-audit specified in point 145.A.15(b)(1), will enable the competent authority to conduct its assessment in order to determine the volume of certification and oversight work that is necessary, and the locations where it will be carried out.</w:t>
      </w:r>
    </w:p>
    <w:p w14:paraId="2260FE3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intent of the internal pre-audit referred to in point 145.A.15(b)(1) is to ensure that the organisation has internally verified its compliance with the Regulation. This should allow the organisation to demonstrate to the competent authority the extent to which the applicable requirements are complied with, and to provide assurance that the organisation management system (including compliance monitoring system) is established to a level that is sufficient to perform maintenance activities.</w:t>
      </w:r>
    </w:p>
    <w:p w14:paraId="7E059018"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8" w:name="toc_sec_0011"/>
      <w:bookmarkStart w:id="39" w:name="_Toc241066027"/>
      <w:r w:rsidRPr="00AD3643">
        <w:rPr>
          <w:rFonts w:ascii="Times New Roman" w:hAnsi="Times New Roman" w:cs="Times New Roman"/>
          <w:sz w:val="24"/>
          <w:szCs w:val="24"/>
          <w:lang w:val="en-US"/>
        </w:rPr>
        <w:lastRenderedPageBreak/>
        <w:t>AMC1 145.A.20 Terms of approval and scope of work</w:t>
      </w:r>
      <w:bookmarkEnd w:id="38"/>
      <w:bookmarkEnd w:id="39"/>
    </w:p>
    <w:p w14:paraId="3675DC2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following table identifies the ATA Specification 2200 chapter for the category C component rating.</w:t>
      </w:r>
    </w:p>
    <w:p w14:paraId="628CCD7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If the maintenance manual (or equivalent document) does not follow the ATA Chapters, the</w:t>
      </w:r>
    </w:p>
    <w:p w14:paraId="4EB338A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corresponding subjects still apply to the applicable C rating.</w:t>
      </w:r>
    </w:p>
    <w:tbl>
      <w:tblPr>
        <w:tblW w:w="0" w:type="auto"/>
        <w:jc w:val="center"/>
        <w:tblLook w:val="04A0" w:firstRow="1" w:lastRow="0" w:firstColumn="1" w:lastColumn="0" w:noHBand="0" w:noVBand="1"/>
      </w:tblPr>
      <w:tblGrid>
        <w:gridCol w:w="1979"/>
        <w:gridCol w:w="5189"/>
        <w:gridCol w:w="2459"/>
      </w:tblGrid>
      <w:tr w:rsidR="00AD355E" w:rsidRPr="00AD3643" w14:paraId="332BA694" w14:textId="77777777" w:rsidTr="00440681">
        <w:trPr>
          <w:tblHeader/>
          <w:jc w:val="center"/>
        </w:trPr>
        <w:tc>
          <w:tcPr>
            <w:tcW w:w="1979" w:type="dxa"/>
            <w:tcBorders>
              <w:top w:val="single" w:sz="5" w:space="0" w:color="B7B7B7"/>
              <w:left w:val="single" w:sz="5" w:space="0" w:color="B7B7B7"/>
              <w:bottom w:val="single" w:sz="5" w:space="0" w:color="B7B7B7"/>
              <w:right w:val="single" w:sz="5" w:space="0" w:color="B7B7B7"/>
            </w:tcBorders>
            <w:vAlign w:val="center"/>
          </w:tcPr>
          <w:p w14:paraId="69D12FF0" w14:textId="75DF4432"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CLASS</w:t>
            </w:r>
          </w:p>
        </w:tc>
        <w:tc>
          <w:tcPr>
            <w:tcW w:w="5189" w:type="dxa"/>
            <w:tcBorders>
              <w:top w:val="single" w:sz="5" w:space="0" w:color="B7B7B7"/>
              <w:left w:val="single" w:sz="5" w:space="0" w:color="B7B7B7"/>
              <w:bottom w:val="single" w:sz="5" w:space="0" w:color="B7B7B7"/>
              <w:right w:val="single" w:sz="5" w:space="0" w:color="B7B7B7"/>
            </w:tcBorders>
            <w:vAlign w:val="center"/>
          </w:tcPr>
          <w:p w14:paraId="192907FF" w14:textId="77777777"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RATING</w:t>
            </w:r>
          </w:p>
        </w:tc>
        <w:tc>
          <w:tcPr>
            <w:tcW w:w="2459" w:type="dxa"/>
            <w:tcBorders>
              <w:top w:val="single" w:sz="5" w:space="0" w:color="B7B7B7"/>
              <w:left w:val="single" w:sz="5" w:space="0" w:color="B7B7B7"/>
              <w:bottom w:val="single" w:sz="5" w:space="0" w:color="B7B7B7"/>
              <w:right w:val="single" w:sz="5" w:space="0" w:color="B7B7B7"/>
            </w:tcBorders>
            <w:vAlign w:val="center"/>
          </w:tcPr>
          <w:p w14:paraId="38691A88" w14:textId="39569CAB"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ATA CHAPTERS</w:t>
            </w:r>
          </w:p>
        </w:tc>
      </w:tr>
      <w:tr w:rsidR="00AD355E" w:rsidRPr="00AD3643" w14:paraId="148E3522" w14:textId="77777777" w:rsidTr="00440681">
        <w:trPr>
          <w:jc w:val="center"/>
        </w:trPr>
        <w:tc>
          <w:tcPr>
            <w:tcW w:w="1979" w:type="dxa"/>
            <w:vMerge w:val="restart"/>
            <w:tcBorders>
              <w:top w:val="single" w:sz="5" w:space="0" w:color="B7B7B7"/>
              <w:left w:val="single" w:sz="5" w:space="0" w:color="B7B7B7"/>
              <w:right w:val="single" w:sz="5" w:space="0" w:color="B7B7B7"/>
            </w:tcBorders>
            <w:vAlign w:val="center"/>
          </w:tcPr>
          <w:p w14:paraId="5B26384A" w14:textId="60876A68" w:rsidR="00AD355E" w:rsidRPr="00AD355E" w:rsidRDefault="00AD355E"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COMPONENTS OTHER THAN COMPLETE ENGINES OR APUs</w:t>
            </w:r>
          </w:p>
        </w:tc>
        <w:tc>
          <w:tcPr>
            <w:tcW w:w="5189" w:type="dxa"/>
            <w:tcBorders>
              <w:top w:val="single" w:sz="5" w:space="0" w:color="B7B7B7"/>
              <w:left w:val="single" w:sz="5" w:space="0" w:color="B7B7B7"/>
              <w:bottom w:val="single" w:sz="5" w:space="0" w:color="B7B7B7"/>
              <w:right w:val="single" w:sz="5" w:space="0" w:color="B7B7B7"/>
            </w:tcBorders>
            <w:vAlign w:val="center"/>
          </w:tcPr>
          <w:p w14:paraId="644A59A7" w14:textId="77777777"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 Air Cond &amp; Press</w:t>
            </w:r>
          </w:p>
        </w:tc>
        <w:tc>
          <w:tcPr>
            <w:tcW w:w="2459" w:type="dxa"/>
            <w:tcBorders>
              <w:top w:val="single" w:sz="5" w:space="0" w:color="B7B7B7"/>
              <w:left w:val="single" w:sz="5" w:space="0" w:color="B7B7B7"/>
              <w:bottom w:val="single" w:sz="5" w:space="0" w:color="B7B7B7"/>
              <w:right w:val="single" w:sz="5" w:space="0" w:color="B7B7B7"/>
            </w:tcBorders>
            <w:vAlign w:val="center"/>
          </w:tcPr>
          <w:p w14:paraId="09DA3E21" w14:textId="38734601"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21</w:t>
            </w:r>
          </w:p>
        </w:tc>
      </w:tr>
      <w:tr w:rsidR="00AD355E" w:rsidRPr="00AD3643" w14:paraId="5EBCED70" w14:textId="77777777" w:rsidTr="00440681">
        <w:trPr>
          <w:jc w:val="center"/>
        </w:trPr>
        <w:tc>
          <w:tcPr>
            <w:tcW w:w="1979" w:type="dxa"/>
            <w:vMerge/>
            <w:tcBorders>
              <w:left w:val="single" w:sz="5" w:space="0" w:color="B7B7B7"/>
              <w:right w:val="single" w:sz="5" w:space="0" w:color="B7B7B7"/>
            </w:tcBorders>
            <w:vAlign w:val="center"/>
          </w:tcPr>
          <w:p w14:paraId="454F3273" w14:textId="77777777" w:rsidR="00AD355E" w:rsidRPr="00AD3643" w:rsidRDefault="00AD355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0A4F4D1B" w14:textId="77777777"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C2 Auto Flight</w:t>
            </w:r>
          </w:p>
        </w:tc>
        <w:tc>
          <w:tcPr>
            <w:tcW w:w="2459" w:type="dxa"/>
            <w:tcBorders>
              <w:top w:val="single" w:sz="5" w:space="0" w:color="B7B7B7"/>
              <w:left w:val="single" w:sz="5" w:space="0" w:color="B7B7B7"/>
              <w:bottom w:val="single" w:sz="5" w:space="0" w:color="B7B7B7"/>
              <w:right w:val="single" w:sz="5" w:space="0" w:color="B7B7B7"/>
            </w:tcBorders>
            <w:vAlign w:val="center"/>
          </w:tcPr>
          <w:p w14:paraId="29773F1C" w14:textId="05A0F4BB"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22</w:t>
            </w:r>
          </w:p>
        </w:tc>
      </w:tr>
      <w:tr w:rsidR="00AD355E" w:rsidRPr="00AD3643" w14:paraId="6692DEF0" w14:textId="77777777" w:rsidTr="00440681">
        <w:trPr>
          <w:jc w:val="center"/>
        </w:trPr>
        <w:tc>
          <w:tcPr>
            <w:tcW w:w="1979" w:type="dxa"/>
            <w:vMerge/>
            <w:tcBorders>
              <w:left w:val="single" w:sz="5" w:space="0" w:color="B7B7B7"/>
              <w:right w:val="single" w:sz="5" w:space="0" w:color="B7B7B7"/>
            </w:tcBorders>
            <w:vAlign w:val="center"/>
          </w:tcPr>
          <w:p w14:paraId="1B6BFA67" w14:textId="77777777" w:rsidR="00AD355E" w:rsidRPr="00AD3643" w:rsidRDefault="00AD355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1871F1C0" w14:textId="77777777"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C3 Comms and Nav</w:t>
            </w:r>
          </w:p>
        </w:tc>
        <w:tc>
          <w:tcPr>
            <w:tcW w:w="2459" w:type="dxa"/>
            <w:tcBorders>
              <w:top w:val="single" w:sz="5" w:space="0" w:color="B7B7B7"/>
              <w:left w:val="single" w:sz="5" w:space="0" w:color="B7B7B7"/>
              <w:bottom w:val="single" w:sz="5" w:space="0" w:color="B7B7B7"/>
              <w:right w:val="single" w:sz="5" w:space="0" w:color="B7B7B7"/>
            </w:tcBorders>
            <w:vAlign w:val="center"/>
          </w:tcPr>
          <w:p w14:paraId="5FA20B28" w14:textId="35787ED2"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23 - 34</w:t>
            </w:r>
          </w:p>
        </w:tc>
      </w:tr>
      <w:tr w:rsidR="00AD355E" w:rsidRPr="00AD3643" w14:paraId="11F6EB6D" w14:textId="77777777" w:rsidTr="00440681">
        <w:trPr>
          <w:jc w:val="center"/>
        </w:trPr>
        <w:tc>
          <w:tcPr>
            <w:tcW w:w="1979" w:type="dxa"/>
            <w:vMerge/>
            <w:tcBorders>
              <w:left w:val="single" w:sz="5" w:space="0" w:color="B7B7B7"/>
              <w:right w:val="single" w:sz="5" w:space="0" w:color="B7B7B7"/>
            </w:tcBorders>
            <w:vAlign w:val="center"/>
          </w:tcPr>
          <w:p w14:paraId="13B25487" w14:textId="77777777" w:rsidR="00AD355E" w:rsidRPr="00AD3643" w:rsidRDefault="00AD355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3B618181" w14:textId="77777777"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C4 Doors - Hatches</w:t>
            </w:r>
          </w:p>
        </w:tc>
        <w:tc>
          <w:tcPr>
            <w:tcW w:w="2459" w:type="dxa"/>
            <w:tcBorders>
              <w:top w:val="single" w:sz="5" w:space="0" w:color="B7B7B7"/>
              <w:left w:val="single" w:sz="5" w:space="0" w:color="B7B7B7"/>
              <w:bottom w:val="single" w:sz="5" w:space="0" w:color="B7B7B7"/>
              <w:right w:val="single" w:sz="5" w:space="0" w:color="B7B7B7"/>
            </w:tcBorders>
            <w:vAlign w:val="center"/>
          </w:tcPr>
          <w:p w14:paraId="08BE9215" w14:textId="297B307B"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52</w:t>
            </w:r>
          </w:p>
        </w:tc>
      </w:tr>
      <w:tr w:rsidR="00AD355E" w:rsidRPr="00AD3643" w14:paraId="02E08407" w14:textId="77777777" w:rsidTr="00440681">
        <w:trPr>
          <w:jc w:val="center"/>
        </w:trPr>
        <w:tc>
          <w:tcPr>
            <w:tcW w:w="1979" w:type="dxa"/>
            <w:vMerge/>
            <w:tcBorders>
              <w:left w:val="single" w:sz="5" w:space="0" w:color="B7B7B7"/>
              <w:right w:val="single" w:sz="5" w:space="0" w:color="B7B7B7"/>
            </w:tcBorders>
            <w:vAlign w:val="center"/>
          </w:tcPr>
          <w:p w14:paraId="78E0F6C5" w14:textId="77777777" w:rsidR="00AD355E" w:rsidRPr="00AD3643" w:rsidRDefault="00AD355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6967EB8F" w14:textId="77777777"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C5 Electrical Power &amp; Lights</w:t>
            </w:r>
          </w:p>
        </w:tc>
        <w:tc>
          <w:tcPr>
            <w:tcW w:w="2459" w:type="dxa"/>
            <w:tcBorders>
              <w:top w:val="single" w:sz="5" w:space="0" w:color="B7B7B7"/>
              <w:left w:val="single" w:sz="5" w:space="0" w:color="B7B7B7"/>
              <w:bottom w:val="single" w:sz="5" w:space="0" w:color="B7B7B7"/>
              <w:right w:val="single" w:sz="5" w:space="0" w:color="B7B7B7"/>
            </w:tcBorders>
            <w:vAlign w:val="center"/>
          </w:tcPr>
          <w:p w14:paraId="028D541D" w14:textId="3003BF64" w:rsidR="00AD355E" w:rsidRPr="00AD3643" w:rsidRDefault="00AD355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24 – 33 - 85</w:t>
            </w:r>
          </w:p>
        </w:tc>
      </w:tr>
      <w:tr w:rsidR="00DC49E5" w:rsidRPr="00AD3643" w14:paraId="1B27632E" w14:textId="77777777" w:rsidTr="00440681">
        <w:trPr>
          <w:jc w:val="center"/>
        </w:trPr>
        <w:tc>
          <w:tcPr>
            <w:tcW w:w="1979" w:type="dxa"/>
            <w:vMerge/>
            <w:tcBorders>
              <w:left w:val="single" w:sz="5" w:space="0" w:color="B7B7B7"/>
              <w:right w:val="single" w:sz="5" w:space="0" w:color="B7B7B7"/>
            </w:tcBorders>
            <w:vAlign w:val="center"/>
          </w:tcPr>
          <w:p w14:paraId="308646C4" w14:textId="77777777" w:rsidR="00DC49E5" w:rsidRPr="00AD3643" w:rsidRDefault="00DC49E5"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2A5593CA" w14:textId="77777777" w:rsidR="00DC49E5" w:rsidRPr="00AD3643" w:rsidRDefault="00DC49E5"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C6 Equipment</w:t>
            </w:r>
          </w:p>
        </w:tc>
        <w:tc>
          <w:tcPr>
            <w:tcW w:w="2459" w:type="dxa"/>
            <w:tcBorders>
              <w:top w:val="single" w:sz="5" w:space="0" w:color="B7B7B7"/>
              <w:left w:val="single" w:sz="5" w:space="0" w:color="B7B7B7"/>
              <w:bottom w:val="single" w:sz="5" w:space="0" w:color="B7B7B7"/>
              <w:right w:val="single" w:sz="5" w:space="0" w:color="B7B7B7"/>
            </w:tcBorders>
            <w:vAlign w:val="center"/>
          </w:tcPr>
          <w:p w14:paraId="6DDEE5EB" w14:textId="26F6F18D" w:rsidR="00DC49E5" w:rsidRPr="00AD3643" w:rsidRDefault="00DC49E5"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25 - 38 - 44 – 45 - 50</w:t>
            </w:r>
          </w:p>
        </w:tc>
      </w:tr>
      <w:tr w:rsidR="009F0D3D" w:rsidRPr="00AD3643" w14:paraId="651E99BA" w14:textId="77777777" w:rsidTr="00440681">
        <w:trPr>
          <w:trHeight w:val="1203"/>
          <w:jc w:val="center"/>
        </w:trPr>
        <w:tc>
          <w:tcPr>
            <w:tcW w:w="1979" w:type="dxa"/>
            <w:vMerge/>
            <w:tcBorders>
              <w:left w:val="single" w:sz="5" w:space="0" w:color="B7B7B7"/>
              <w:right w:val="single" w:sz="5" w:space="0" w:color="B7B7B7"/>
            </w:tcBorders>
            <w:vAlign w:val="center"/>
          </w:tcPr>
          <w:p w14:paraId="70839158" w14:textId="15AA31DB" w:rsidR="009F0D3D" w:rsidRPr="00AD3643" w:rsidRDefault="009F0D3D"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right w:val="single" w:sz="5" w:space="0" w:color="B7B7B7"/>
            </w:tcBorders>
            <w:vAlign w:val="center"/>
          </w:tcPr>
          <w:p w14:paraId="026BBF34" w14:textId="77777777"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C7 Engine – APU</w:t>
            </w:r>
          </w:p>
        </w:tc>
        <w:tc>
          <w:tcPr>
            <w:tcW w:w="2459" w:type="dxa"/>
            <w:tcBorders>
              <w:top w:val="single" w:sz="5" w:space="0" w:color="B7B7B7"/>
              <w:left w:val="single" w:sz="5" w:space="0" w:color="B7B7B7"/>
              <w:right w:val="single" w:sz="5" w:space="0" w:color="B7B7B7"/>
            </w:tcBorders>
            <w:vAlign w:val="center"/>
          </w:tcPr>
          <w:p w14:paraId="21A5C32C" w14:textId="77777777"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49 - 71 - 72 - 73 - 74 - 75 - 76 - 77 - 78 -</w:t>
            </w:r>
          </w:p>
          <w:p w14:paraId="0751B878" w14:textId="6F3D4680"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79 - 80 - 81 - 82 - 83</w:t>
            </w:r>
          </w:p>
        </w:tc>
      </w:tr>
      <w:tr w:rsidR="009F0D3D" w:rsidRPr="00AD3643" w14:paraId="58186B46" w14:textId="77777777" w:rsidTr="00440681">
        <w:trPr>
          <w:jc w:val="center"/>
        </w:trPr>
        <w:tc>
          <w:tcPr>
            <w:tcW w:w="1979" w:type="dxa"/>
            <w:vMerge/>
            <w:tcBorders>
              <w:left w:val="single" w:sz="5" w:space="0" w:color="B7B7B7"/>
              <w:right w:val="single" w:sz="5" w:space="0" w:color="B7B7B7"/>
            </w:tcBorders>
            <w:vAlign w:val="center"/>
          </w:tcPr>
          <w:p w14:paraId="11696DF2" w14:textId="77777777" w:rsidR="009F0D3D" w:rsidRPr="00AD3643" w:rsidRDefault="009F0D3D"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14AB9E41" w14:textId="77777777"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C8 Flight Controls</w:t>
            </w:r>
          </w:p>
        </w:tc>
        <w:tc>
          <w:tcPr>
            <w:tcW w:w="2459" w:type="dxa"/>
            <w:tcBorders>
              <w:top w:val="single" w:sz="5" w:space="0" w:color="B7B7B7"/>
              <w:left w:val="single" w:sz="5" w:space="0" w:color="B7B7B7"/>
              <w:bottom w:val="single" w:sz="5" w:space="0" w:color="B7B7B7"/>
              <w:right w:val="single" w:sz="5" w:space="0" w:color="B7B7B7"/>
            </w:tcBorders>
            <w:vAlign w:val="center"/>
          </w:tcPr>
          <w:p w14:paraId="70390F9A" w14:textId="2DB90D29"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27 - 55 - 57.40 - 57.50 -57.60 - 57.70</w:t>
            </w:r>
          </w:p>
        </w:tc>
      </w:tr>
      <w:tr w:rsidR="009F0D3D" w:rsidRPr="00AD3643" w14:paraId="57DF01C4" w14:textId="77777777" w:rsidTr="00440681">
        <w:trPr>
          <w:jc w:val="center"/>
        </w:trPr>
        <w:tc>
          <w:tcPr>
            <w:tcW w:w="1979" w:type="dxa"/>
            <w:vMerge/>
            <w:tcBorders>
              <w:left w:val="single" w:sz="5" w:space="0" w:color="B7B7B7"/>
              <w:right w:val="single" w:sz="5" w:space="0" w:color="B7B7B7"/>
            </w:tcBorders>
            <w:vAlign w:val="center"/>
          </w:tcPr>
          <w:p w14:paraId="540E49BB" w14:textId="77777777" w:rsidR="009F0D3D" w:rsidRPr="00AD3643" w:rsidRDefault="009F0D3D"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432F793A" w14:textId="77777777"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C9 Fuel</w:t>
            </w:r>
          </w:p>
        </w:tc>
        <w:tc>
          <w:tcPr>
            <w:tcW w:w="2459" w:type="dxa"/>
            <w:tcBorders>
              <w:top w:val="single" w:sz="5" w:space="0" w:color="B7B7B7"/>
              <w:left w:val="single" w:sz="5" w:space="0" w:color="B7B7B7"/>
              <w:bottom w:val="single" w:sz="5" w:space="0" w:color="B7B7B7"/>
              <w:right w:val="single" w:sz="5" w:space="0" w:color="B7B7B7"/>
            </w:tcBorders>
            <w:vAlign w:val="center"/>
          </w:tcPr>
          <w:p w14:paraId="28D6EA15" w14:textId="465708A8"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28 - 47</w:t>
            </w:r>
          </w:p>
        </w:tc>
      </w:tr>
      <w:tr w:rsidR="009F0D3D" w:rsidRPr="00AD3643" w14:paraId="598D3C8B" w14:textId="77777777" w:rsidTr="00440681">
        <w:trPr>
          <w:jc w:val="center"/>
        </w:trPr>
        <w:tc>
          <w:tcPr>
            <w:tcW w:w="1979" w:type="dxa"/>
            <w:vMerge/>
            <w:tcBorders>
              <w:left w:val="single" w:sz="5" w:space="0" w:color="B7B7B7"/>
              <w:right w:val="single" w:sz="5" w:space="0" w:color="B7B7B7"/>
            </w:tcBorders>
            <w:vAlign w:val="center"/>
          </w:tcPr>
          <w:p w14:paraId="5C7F2724" w14:textId="77777777" w:rsidR="009F0D3D" w:rsidRPr="00AD3643" w:rsidRDefault="009F0D3D"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150D7CBA" w14:textId="77777777"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C10 Helicopters - Rotors</w:t>
            </w:r>
          </w:p>
        </w:tc>
        <w:tc>
          <w:tcPr>
            <w:tcW w:w="2459" w:type="dxa"/>
            <w:tcBorders>
              <w:top w:val="single" w:sz="5" w:space="0" w:color="B7B7B7"/>
              <w:left w:val="single" w:sz="5" w:space="0" w:color="B7B7B7"/>
              <w:bottom w:val="single" w:sz="5" w:space="0" w:color="B7B7B7"/>
              <w:right w:val="single" w:sz="5" w:space="0" w:color="B7B7B7"/>
            </w:tcBorders>
            <w:vAlign w:val="center"/>
          </w:tcPr>
          <w:p w14:paraId="70787E2B" w14:textId="31BAFF38" w:rsidR="009F0D3D" w:rsidRPr="00AD3643" w:rsidRDefault="009F0D3D"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62 - 64 - 66 - 67</w:t>
            </w:r>
          </w:p>
        </w:tc>
      </w:tr>
      <w:tr w:rsidR="00DD32CE" w:rsidRPr="00AD3643" w14:paraId="0B2EF9CC" w14:textId="77777777" w:rsidTr="00440681">
        <w:trPr>
          <w:jc w:val="center"/>
        </w:trPr>
        <w:tc>
          <w:tcPr>
            <w:tcW w:w="1979" w:type="dxa"/>
            <w:vMerge/>
            <w:tcBorders>
              <w:left w:val="single" w:sz="5" w:space="0" w:color="B7B7B7"/>
              <w:right w:val="single" w:sz="5" w:space="0" w:color="B7B7B7"/>
            </w:tcBorders>
            <w:vAlign w:val="center"/>
          </w:tcPr>
          <w:p w14:paraId="6222679C"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5CEDBD30"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C11 Helicopter - Trans</w:t>
            </w:r>
          </w:p>
        </w:tc>
        <w:tc>
          <w:tcPr>
            <w:tcW w:w="2459" w:type="dxa"/>
            <w:tcBorders>
              <w:top w:val="single" w:sz="5" w:space="0" w:color="B7B7B7"/>
              <w:left w:val="single" w:sz="5" w:space="0" w:color="B7B7B7"/>
              <w:bottom w:val="single" w:sz="5" w:space="0" w:color="B7B7B7"/>
              <w:right w:val="single" w:sz="5" w:space="0" w:color="B7B7B7"/>
            </w:tcBorders>
            <w:vAlign w:val="center"/>
          </w:tcPr>
          <w:p w14:paraId="0459FC41" w14:textId="3D1F51E5"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63 - 65</w:t>
            </w:r>
          </w:p>
        </w:tc>
      </w:tr>
      <w:tr w:rsidR="00DD32CE" w:rsidRPr="00AD3643" w14:paraId="06FAA201" w14:textId="77777777" w:rsidTr="00440681">
        <w:trPr>
          <w:jc w:val="center"/>
        </w:trPr>
        <w:tc>
          <w:tcPr>
            <w:tcW w:w="1979" w:type="dxa"/>
            <w:vMerge/>
            <w:tcBorders>
              <w:left w:val="single" w:sz="5" w:space="0" w:color="B7B7B7"/>
              <w:right w:val="single" w:sz="5" w:space="0" w:color="B7B7B7"/>
            </w:tcBorders>
            <w:vAlign w:val="center"/>
          </w:tcPr>
          <w:p w14:paraId="5C402B3D"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24C7A76B"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C12 Hydraulic Power</w:t>
            </w:r>
          </w:p>
        </w:tc>
        <w:tc>
          <w:tcPr>
            <w:tcW w:w="2459" w:type="dxa"/>
            <w:tcBorders>
              <w:top w:val="single" w:sz="5" w:space="0" w:color="B7B7B7"/>
              <w:left w:val="single" w:sz="5" w:space="0" w:color="B7B7B7"/>
              <w:bottom w:val="single" w:sz="5" w:space="0" w:color="B7B7B7"/>
              <w:right w:val="single" w:sz="5" w:space="0" w:color="B7B7B7"/>
            </w:tcBorders>
            <w:vAlign w:val="center"/>
          </w:tcPr>
          <w:p w14:paraId="30CB6BFD" w14:textId="0FDB69E5"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29</w:t>
            </w:r>
          </w:p>
        </w:tc>
      </w:tr>
      <w:tr w:rsidR="00DD32CE" w:rsidRPr="00AD3643" w14:paraId="7F3CE177" w14:textId="77777777" w:rsidTr="00440681">
        <w:trPr>
          <w:jc w:val="center"/>
        </w:trPr>
        <w:tc>
          <w:tcPr>
            <w:tcW w:w="1979" w:type="dxa"/>
            <w:vMerge/>
            <w:tcBorders>
              <w:left w:val="single" w:sz="5" w:space="0" w:color="B7B7B7"/>
              <w:right w:val="single" w:sz="5" w:space="0" w:color="B7B7B7"/>
            </w:tcBorders>
            <w:vAlign w:val="center"/>
          </w:tcPr>
          <w:p w14:paraId="202603C3"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6D6B03B0"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C13 Indicating/Recording Systems</w:t>
            </w:r>
          </w:p>
        </w:tc>
        <w:tc>
          <w:tcPr>
            <w:tcW w:w="2459" w:type="dxa"/>
            <w:tcBorders>
              <w:top w:val="single" w:sz="5" w:space="0" w:color="B7B7B7"/>
              <w:left w:val="single" w:sz="5" w:space="0" w:color="B7B7B7"/>
              <w:bottom w:val="single" w:sz="5" w:space="0" w:color="B7B7B7"/>
              <w:right w:val="single" w:sz="5" w:space="0" w:color="B7B7B7"/>
            </w:tcBorders>
            <w:vAlign w:val="center"/>
          </w:tcPr>
          <w:p w14:paraId="3D1239B6" w14:textId="568B1F0C"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31 – 42 - 46</w:t>
            </w:r>
          </w:p>
        </w:tc>
      </w:tr>
      <w:tr w:rsidR="00DD32CE" w:rsidRPr="00AD3643" w14:paraId="002FDF9C" w14:textId="77777777" w:rsidTr="00440681">
        <w:trPr>
          <w:jc w:val="center"/>
        </w:trPr>
        <w:tc>
          <w:tcPr>
            <w:tcW w:w="1979" w:type="dxa"/>
            <w:vMerge/>
            <w:tcBorders>
              <w:left w:val="single" w:sz="5" w:space="0" w:color="B7B7B7"/>
              <w:right w:val="single" w:sz="5" w:space="0" w:color="B7B7B7"/>
            </w:tcBorders>
            <w:vAlign w:val="center"/>
          </w:tcPr>
          <w:p w14:paraId="4CFFA63B"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0698FD68"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C14 Landing Gear</w:t>
            </w:r>
          </w:p>
        </w:tc>
        <w:tc>
          <w:tcPr>
            <w:tcW w:w="2459" w:type="dxa"/>
            <w:tcBorders>
              <w:top w:val="single" w:sz="5" w:space="0" w:color="B7B7B7"/>
              <w:left w:val="single" w:sz="5" w:space="0" w:color="B7B7B7"/>
              <w:bottom w:val="single" w:sz="5" w:space="0" w:color="B7B7B7"/>
              <w:right w:val="single" w:sz="5" w:space="0" w:color="B7B7B7"/>
            </w:tcBorders>
            <w:vAlign w:val="center"/>
          </w:tcPr>
          <w:p w14:paraId="46B0F3C6" w14:textId="77777777" w:rsidR="00DD32CE" w:rsidRDefault="00DD32CE"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rPr>
              <w:t>32</w:t>
            </w:r>
          </w:p>
          <w:p w14:paraId="0098C7A6" w14:textId="77777777" w:rsidR="00DD32CE" w:rsidRPr="00AD3643" w:rsidRDefault="00DD32CE" w:rsidP="00C95D06">
            <w:pPr>
              <w:spacing w:after="0"/>
              <w:jc w:val="both"/>
              <w:rPr>
                <w:rFonts w:ascii="Times New Roman" w:hAnsi="Times New Roman" w:cs="Times New Roman"/>
                <w:sz w:val="24"/>
                <w:szCs w:val="24"/>
              </w:rPr>
            </w:pPr>
          </w:p>
        </w:tc>
      </w:tr>
      <w:tr w:rsidR="00DD32CE" w:rsidRPr="00AD3643" w14:paraId="335E1C81" w14:textId="77777777" w:rsidTr="00440681">
        <w:trPr>
          <w:jc w:val="center"/>
        </w:trPr>
        <w:tc>
          <w:tcPr>
            <w:tcW w:w="1979" w:type="dxa"/>
            <w:vMerge/>
            <w:tcBorders>
              <w:left w:val="single" w:sz="5" w:space="0" w:color="B7B7B7"/>
              <w:right w:val="single" w:sz="5" w:space="0" w:color="B7B7B7"/>
            </w:tcBorders>
            <w:vAlign w:val="center"/>
          </w:tcPr>
          <w:p w14:paraId="04FFAB47"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5F5A675B"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C15 Oxygen</w:t>
            </w:r>
          </w:p>
        </w:tc>
        <w:tc>
          <w:tcPr>
            <w:tcW w:w="2459" w:type="dxa"/>
            <w:tcBorders>
              <w:top w:val="single" w:sz="5" w:space="0" w:color="B7B7B7"/>
              <w:left w:val="single" w:sz="5" w:space="0" w:color="B7B7B7"/>
              <w:bottom w:val="single" w:sz="5" w:space="0" w:color="B7B7B7"/>
              <w:right w:val="single" w:sz="5" w:space="0" w:color="B7B7B7"/>
            </w:tcBorders>
            <w:vAlign w:val="center"/>
          </w:tcPr>
          <w:p w14:paraId="1ADD359A" w14:textId="0E10C81E"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35</w:t>
            </w:r>
          </w:p>
        </w:tc>
      </w:tr>
      <w:tr w:rsidR="00DD32CE" w:rsidRPr="00AD3643" w14:paraId="6E1470C7" w14:textId="77777777" w:rsidTr="00440681">
        <w:trPr>
          <w:jc w:val="center"/>
        </w:trPr>
        <w:tc>
          <w:tcPr>
            <w:tcW w:w="1979" w:type="dxa"/>
            <w:vMerge/>
            <w:tcBorders>
              <w:left w:val="single" w:sz="5" w:space="0" w:color="B7B7B7"/>
              <w:right w:val="single" w:sz="5" w:space="0" w:color="B7B7B7"/>
            </w:tcBorders>
            <w:vAlign w:val="center"/>
          </w:tcPr>
          <w:p w14:paraId="395E19C3"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6A0F1BEA"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C16 Propellers</w:t>
            </w:r>
          </w:p>
        </w:tc>
        <w:tc>
          <w:tcPr>
            <w:tcW w:w="2459" w:type="dxa"/>
            <w:tcBorders>
              <w:top w:val="single" w:sz="5" w:space="0" w:color="B7B7B7"/>
              <w:left w:val="single" w:sz="5" w:space="0" w:color="B7B7B7"/>
              <w:bottom w:val="single" w:sz="5" w:space="0" w:color="B7B7B7"/>
              <w:right w:val="single" w:sz="5" w:space="0" w:color="B7B7B7"/>
            </w:tcBorders>
            <w:vAlign w:val="center"/>
          </w:tcPr>
          <w:p w14:paraId="5BC6A0D2" w14:textId="57764C4D"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61</w:t>
            </w:r>
          </w:p>
        </w:tc>
      </w:tr>
      <w:tr w:rsidR="00DD32CE" w:rsidRPr="00AD3643" w14:paraId="60E3FF0A" w14:textId="77777777" w:rsidTr="00440681">
        <w:trPr>
          <w:jc w:val="center"/>
        </w:trPr>
        <w:tc>
          <w:tcPr>
            <w:tcW w:w="1979" w:type="dxa"/>
            <w:vMerge/>
            <w:tcBorders>
              <w:left w:val="single" w:sz="5" w:space="0" w:color="B7B7B7"/>
              <w:right w:val="single" w:sz="5" w:space="0" w:color="B7B7B7"/>
            </w:tcBorders>
            <w:vAlign w:val="center"/>
          </w:tcPr>
          <w:p w14:paraId="2E419E00"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2657253E"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C17 Pneumatic &amp; Vacuum</w:t>
            </w:r>
          </w:p>
        </w:tc>
        <w:tc>
          <w:tcPr>
            <w:tcW w:w="2459" w:type="dxa"/>
            <w:tcBorders>
              <w:top w:val="single" w:sz="5" w:space="0" w:color="B7B7B7"/>
              <w:left w:val="single" w:sz="5" w:space="0" w:color="B7B7B7"/>
              <w:bottom w:val="single" w:sz="5" w:space="0" w:color="B7B7B7"/>
              <w:right w:val="single" w:sz="5" w:space="0" w:color="B7B7B7"/>
            </w:tcBorders>
            <w:vAlign w:val="center"/>
          </w:tcPr>
          <w:p w14:paraId="659A05F9" w14:textId="1EDBFD8A"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36 - 37</w:t>
            </w:r>
          </w:p>
        </w:tc>
      </w:tr>
      <w:tr w:rsidR="00DD32CE" w:rsidRPr="00AD3643" w14:paraId="32D5E351" w14:textId="77777777" w:rsidTr="00440681">
        <w:trPr>
          <w:jc w:val="center"/>
        </w:trPr>
        <w:tc>
          <w:tcPr>
            <w:tcW w:w="1979" w:type="dxa"/>
            <w:vMerge/>
            <w:tcBorders>
              <w:left w:val="single" w:sz="5" w:space="0" w:color="B7B7B7"/>
              <w:right w:val="single" w:sz="5" w:space="0" w:color="B7B7B7"/>
            </w:tcBorders>
            <w:vAlign w:val="center"/>
          </w:tcPr>
          <w:p w14:paraId="6F7A1C31"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3A987BB0" w14:textId="77777777" w:rsidR="00DD32CE" w:rsidRPr="00AD3643" w:rsidRDefault="00DD32CE"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C18 Protection ice/rain/fire</w:t>
            </w:r>
          </w:p>
        </w:tc>
        <w:tc>
          <w:tcPr>
            <w:tcW w:w="2459" w:type="dxa"/>
            <w:tcBorders>
              <w:top w:val="single" w:sz="5" w:space="0" w:color="B7B7B7"/>
              <w:left w:val="single" w:sz="5" w:space="0" w:color="B7B7B7"/>
              <w:bottom w:val="single" w:sz="5" w:space="0" w:color="B7B7B7"/>
              <w:right w:val="single" w:sz="5" w:space="0" w:color="B7B7B7"/>
            </w:tcBorders>
            <w:vAlign w:val="center"/>
          </w:tcPr>
          <w:p w14:paraId="0CD7188F" w14:textId="4B76E1B9"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26 - 30</w:t>
            </w:r>
          </w:p>
        </w:tc>
      </w:tr>
      <w:tr w:rsidR="00DD32CE" w:rsidRPr="00AD3643" w14:paraId="6DEDD45A" w14:textId="77777777" w:rsidTr="00440681">
        <w:trPr>
          <w:jc w:val="center"/>
        </w:trPr>
        <w:tc>
          <w:tcPr>
            <w:tcW w:w="1979" w:type="dxa"/>
            <w:vMerge/>
            <w:tcBorders>
              <w:left w:val="single" w:sz="5" w:space="0" w:color="B7B7B7"/>
              <w:right w:val="single" w:sz="5" w:space="0" w:color="B7B7B7"/>
            </w:tcBorders>
            <w:vAlign w:val="center"/>
          </w:tcPr>
          <w:p w14:paraId="3274B865"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42D2CA91"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C19 Windows</w:t>
            </w:r>
          </w:p>
        </w:tc>
        <w:tc>
          <w:tcPr>
            <w:tcW w:w="2459" w:type="dxa"/>
            <w:tcBorders>
              <w:top w:val="single" w:sz="5" w:space="0" w:color="B7B7B7"/>
              <w:left w:val="single" w:sz="5" w:space="0" w:color="B7B7B7"/>
              <w:bottom w:val="single" w:sz="5" w:space="0" w:color="B7B7B7"/>
              <w:right w:val="single" w:sz="5" w:space="0" w:color="B7B7B7"/>
            </w:tcBorders>
            <w:vAlign w:val="center"/>
          </w:tcPr>
          <w:p w14:paraId="2566A5A8" w14:textId="2964183A"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56</w:t>
            </w:r>
          </w:p>
        </w:tc>
      </w:tr>
      <w:tr w:rsidR="00DD32CE" w:rsidRPr="00AD3643" w14:paraId="4F51B3C3" w14:textId="77777777" w:rsidTr="00440681">
        <w:trPr>
          <w:jc w:val="center"/>
        </w:trPr>
        <w:tc>
          <w:tcPr>
            <w:tcW w:w="1979" w:type="dxa"/>
            <w:vMerge/>
            <w:tcBorders>
              <w:left w:val="single" w:sz="5" w:space="0" w:color="B7B7B7"/>
              <w:right w:val="single" w:sz="5" w:space="0" w:color="B7B7B7"/>
            </w:tcBorders>
            <w:vAlign w:val="center"/>
          </w:tcPr>
          <w:p w14:paraId="2BE7A001"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6FF2108A"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C20 Structural</w:t>
            </w:r>
          </w:p>
        </w:tc>
        <w:tc>
          <w:tcPr>
            <w:tcW w:w="2459" w:type="dxa"/>
            <w:tcBorders>
              <w:top w:val="single" w:sz="5" w:space="0" w:color="B7B7B7"/>
              <w:left w:val="single" w:sz="5" w:space="0" w:color="B7B7B7"/>
              <w:bottom w:val="single" w:sz="5" w:space="0" w:color="B7B7B7"/>
              <w:right w:val="single" w:sz="5" w:space="0" w:color="B7B7B7"/>
            </w:tcBorders>
            <w:vAlign w:val="center"/>
          </w:tcPr>
          <w:p w14:paraId="756C1AEC" w14:textId="05D09643"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53 - 54 - 57.10 - 57.20 - 57.30</w:t>
            </w:r>
          </w:p>
        </w:tc>
      </w:tr>
      <w:tr w:rsidR="00DD32CE" w:rsidRPr="00AD3643" w14:paraId="24837671" w14:textId="77777777" w:rsidTr="00440681">
        <w:trPr>
          <w:jc w:val="center"/>
        </w:trPr>
        <w:tc>
          <w:tcPr>
            <w:tcW w:w="1979" w:type="dxa"/>
            <w:vMerge/>
            <w:tcBorders>
              <w:left w:val="single" w:sz="5" w:space="0" w:color="B7B7B7"/>
              <w:right w:val="single" w:sz="5" w:space="0" w:color="B7B7B7"/>
            </w:tcBorders>
            <w:vAlign w:val="center"/>
          </w:tcPr>
          <w:p w14:paraId="09D89F19"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565C48BD"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C21 Water Ballast</w:t>
            </w:r>
          </w:p>
        </w:tc>
        <w:tc>
          <w:tcPr>
            <w:tcW w:w="2459" w:type="dxa"/>
            <w:tcBorders>
              <w:top w:val="single" w:sz="5" w:space="0" w:color="B7B7B7"/>
              <w:left w:val="single" w:sz="5" w:space="0" w:color="B7B7B7"/>
              <w:bottom w:val="single" w:sz="5" w:space="0" w:color="B7B7B7"/>
              <w:right w:val="single" w:sz="5" w:space="0" w:color="B7B7B7"/>
            </w:tcBorders>
            <w:vAlign w:val="center"/>
          </w:tcPr>
          <w:p w14:paraId="3D5FEFE8" w14:textId="22DD9DD3"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41</w:t>
            </w:r>
          </w:p>
        </w:tc>
      </w:tr>
      <w:tr w:rsidR="00DD32CE" w:rsidRPr="00AD3643" w14:paraId="4D92CCFD" w14:textId="77777777" w:rsidTr="00440681">
        <w:trPr>
          <w:jc w:val="center"/>
        </w:trPr>
        <w:tc>
          <w:tcPr>
            <w:tcW w:w="1979" w:type="dxa"/>
            <w:vMerge/>
            <w:tcBorders>
              <w:left w:val="single" w:sz="5" w:space="0" w:color="B7B7B7"/>
              <w:bottom w:val="single" w:sz="5" w:space="0" w:color="B7B7B7"/>
              <w:right w:val="single" w:sz="5" w:space="0" w:color="B7B7B7"/>
            </w:tcBorders>
            <w:vAlign w:val="center"/>
          </w:tcPr>
          <w:p w14:paraId="4422DD35" w14:textId="77777777" w:rsidR="00DD32CE" w:rsidRPr="00AD3643" w:rsidRDefault="00DD32CE" w:rsidP="00C95D06">
            <w:pPr>
              <w:spacing w:after="0"/>
              <w:jc w:val="both"/>
              <w:rPr>
                <w:rFonts w:ascii="Times New Roman" w:hAnsi="Times New Roman" w:cs="Times New Roman"/>
                <w:sz w:val="24"/>
                <w:szCs w:val="24"/>
              </w:rPr>
            </w:pPr>
          </w:p>
        </w:tc>
        <w:tc>
          <w:tcPr>
            <w:tcW w:w="5189" w:type="dxa"/>
            <w:tcBorders>
              <w:top w:val="single" w:sz="5" w:space="0" w:color="B7B7B7"/>
              <w:left w:val="single" w:sz="5" w:space="0" w:color="B7B7B7"/>
              <w:bottom w:val="single" w:sz="5" w:space="0" w:color="B7B7B7"/>
              <w:right w:val="single" w:sz="5" w:space="0" w:color="B7B7B7"/>
            </w:tcBorders>
            <w:vAlign w:val="center"/>
          </w:tcPr>
          <w:p w14:paraId="088D0111" w14:textId="77777777"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C22 Propulsion Augmentation</w:t>
            </w:r>
          </w:p>
        </w:tc>
        <w:tc>
          <w:tcPr>
            <w:tcW w:w="2459" w:type="dxa"/>
            <w:tcBorders>
              <w:top w:val="single" w:sz="5" w:space="0" w:color="B7B7B7"/>
              <w:left w:val="single" w:sz="5" w:space="0" w:color="B7B7B7"/>
              <w:bottom w:val="single" w:sz="5" w:space="0" w:color="B7B7B7"/>
              <w:right w:val="single" w:sz="5" w:space="0" w:color="B7B7B7"/>
            </w:tcBorders>
            <w:vAlign w:val="center"/>
          </w:tcPr>
          <w:p w14:paraId="1A01AE92" w14:textId="41178B03" w:rsidR="00DD32CE" w:rsidRPr="00AD3643" w:rsidRDefault="00DD32CE"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84</w:t>
            </w:r>
          </w:p>
        </w:tc>
      </w:tr>
    </w:tbl>
    <w:p w14:paraId="13CED75C" w14:textId="3F92ED6F" w:rsidR="00E52167" w:rsidRPr="00AD3643" w:rsidRDefault="00E52167" w:rsidP="00C95D06">
      <w:pPr>
        <w:pStyle w:val="Heading2"/>
        <w:spacing w:after="0"/>
        <w:jc w:val="both"/>
        <w:rPr>
          <w:rFonts w:ascii="Times New Roman" w:hAnsi="Times New Roman" w:cs="Times New Roman"/>
          <w:sz w:val="24"/>
          <w:szCs w:val="24"/>
          <w:lang w:val="en-US"/>
        </w:rPr>
      </w:pPr>
      <w:bookmarkStart w:id="40" w:name="toc_sec_0012"/>
      <w:bookmarkStart w:id="41" w:name="_Toc241066028"/>
      <w:r w:rsidRPr="00AD3643">
        <w:rPr>
          <w:rFonts w:ascii="Times New Roman" w:hAnsi="Times New Roman" w:cs="Times New Roman"/>
          <w:sz w:val="24"/>
          <w:szCs w:val="24"/>
          <w:lang w:val="en-US"/>
        </w:rPr>
        <w:t>AMC2 145.A.20 Terms of approval and scope of work</w:t>
      </w:r>
      <w:bookmarkEnd w:id="40"/>
      <w:bookmarkEnd w:id="41"/>
    </w:p>
    <w:p w14:paraId="0128A8E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Facilities such as stores, line stations, component or subcontractors workshops that are not located</w:t>
      </w:r>
    </w:p>
    <w:p w14:paraId="0FE4A6D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together with the main facilities of the organisation may be covered by the organisation approval</w:t>
      </w:r>
    </w:p>
    <w:p w14:paraId="51E283A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without being identified on the organisation certificate, provided that the MOE identifies these</w:t>
      </w:r>
    </w:p>
    <w:p w14:paraId="79E10C9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facilities and contains procedures to control such facilities, and the competent authority is satisfied</w:t>
      </w:r>
    </w:p>
    <w:p w14:paraId="49AE106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that they form an integral part of the approved maintenance organisation.</w:t>
      </w:r>
    </w:p>
    <w:p w14:paraId="35B8BF0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42" w:name="toc_sec_0013"/>
      <w:bookmarkStart w:id="43" w:name="_Toc241066029"/>
      <w:r w:rsidRPr="00AD3643">
        <w:rPr>
          <w:rFonts w:ascii="Times New Roman" w:hAnsi="Times New Roman" w:cs="Times New Roman"/>
          <w:sz w:val="24"/>
          <w:szCs w:val="24"/>
          <w:lang w:val="en-US"/>
        </w:rPr>
        <w:lastRenderedPageBreak/>
        <w:t>AMC1 145.A.25(a) Facility requirements</w:t>
      </w:r>
      <w:bookmarkEnd w:id="42"/>
      <w:bookmarkEnd w:id="43"/>
    </w:p>
    <w:p w14:paraId="68AF11D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Where the hangar is not owned by the organisation, it may be necessary to establish proof of</w:t>
      </w:r>
    </w:p>
    <w:p w14:paraId="1F4C4A6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tenancy. In addition, sufficiency of hangar space to carry out planned base maintenance should be demonstrated by the preparation of a projected aircraft hangar visit plan relative to the intended maintenance activities. The aircraft hangar visit plan should be updated on a regular basis.</w:t>
      </w:r>
    </w:p>
    <w:p w14:paraId="4CCF67C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Protection from the weather elements relates to the normal prevailing local weather elements that are expected throughout any twelve month period. Aircraft hangar and component workshop structures should prevent the ingress of rain, hail, ice, snow, wind and dust etc. Aircraft hangar and component workshop floors should be sealed to minimise dust generation.</w:t>
      </w:r>
    </w:p>
    <w:p w14:paraId="4BCDEC2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For line maintenance of aircraft, hangars are not essential but it is recommended that access to hangar accommodation be demonstrated for usage during inclement weather for minor scheduled work and lengthy defect rectification.</w:t>
      </w:r>
    </w:p>
    <w:p w14:paraId="35E9755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Subject to a risk assessment and agreement by the competent authority, the organisation may use facilities at the approved location other than a base maintenance hangar for certain aircraft base maintenance tasks, provided that those facilities offer levels of weather and environmental protection that are equivalent to those of a base maintenance hangar, as well as a suitable working environment for the particular work package. This does not exempt an organisation from the requirement to have a base maintenance hangar in order to be approved to conduct base maintenance at a given location.</w:t>
      </w:r>
    </w:p>
    <w:p w14:paraId="5847C7B9"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44" w:name="toc_sec_0014"/>
      <w:bookmarkStart w:id="45" w:name="_Toc241066030"/>
      <w:r w:rsidRPr="00AD3643">
        <w:rPr>
          <w:rFonts w:ascii="Times New Roman" w:hAnsi="Times New Roman" w:cs="Times New Roman"/>
          <w:sz w:val="24"/>
          <w:szCs w:val="24"/>
          <w:lang w:val="en-US"/>
        </w:rPr>
        <w:t>AMC 145.A.25(b) Facility requirements</w:t>
      </w:r>
      <w:bookmarkEnd w:id="44"/>
      <w:bookmarkEnd w:id="45"/>
    </w:p>
    <w:p w14:paraId="488AA58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It is acceptable to combine any or all of the office accommodation requirements into one office subject</w:t>
      </w:r>
    </w:p>
    <w:p w14:paraId="09FC5E7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 the staff having sufficient room to carry out the assigned tasks.</w:t>
      </w:r>
    </w:p>
    <w:p w14:paraId="31C1E1B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addition, as part of the office accommodation, aircraft maintenance staff should be provided with</w:t>
      </w:r>
    </w:p>
    <w:p w14:paraId="75FBF59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 area where they may study maintenance instructions and complete maintenance records in a</w:t>
      </w:r>
    </w:p>
    <w:p w14:paraId="5E09040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proper manner.</w:t>
      </w:r>
    </w:p>
    <w:p w14:paraId="1AEC9C0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46" w:name="toc_sec_0015"/>
      <w:bookmarkStart w:id="47" w:name="_Toc241066031"/>
      <w:r w:rsidRPr="00AD3643">
        <w:rPr>
          <w:rFonts w:ascii="Times New Roman" w:hAnsi="Times New Roman" w:cs="Times New Roman"/>
          <w:sz w:val="24"/>
          <w:szCs w:val="24"/>
          <w:lang w:val="en-US"/>
        </w:rPr>
        <w:t>AMC 145.A.25(d) Facility requirements</w:t>
      </w:r>
      <w:bookmarkEnd w:id="46"/>
      <w:bookmarkEnd w:id="47"/>
    </w:p>
    <w:p w14:paraId="2A32360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Storage facilities for serviceable aircraft components should be clean, well-ventilated and maintained at a constant dry temperature to minimise the effects of condensation. Manufacturer’s storage recommendations should be followed for those aircraft components identified in such published recommendations.</w:t>
      </w:r>
    </w:p>
    <w:p w14:paraId="6350012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Storage racks should be strong enough to hold aircraft components and provide sufficient support for large aircraft components such that the component is not distorted during storage.</w:t>
      </w:r>
    </w:p>
    <w:p w14:paraId="0F4894F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All aircraft components, wherever practicable, should remain packaged in protective material to minimise damage and corrosion during storage.</w:t>
      </w:r>
    </w:p>
    <w:p w14:paraId="4CB3FF8E" w14:textId="770EFF82" w:rsidR="00E52167" w:rsidRPr="00AD3643" w:rsidRDefault="00E52167" w:rsidP="00C95D06">
      <w:pPr>
        <w:pStyle w:val="Heading2"/>
        <w:spacing w:after="0"/>
        <w:jc w:val="both"/>
        <w:rPr>
          <w:rFonts w:ascii="Times New Roman" w:hAnsi="Times New Roman" w:cs="Times New Roman"/>
          <w:sz w:val="24"/>
          <w:szCs w:val="24"/>
          <w:lang w:val="en-US"/>
        </w:rPr>
      </w:pPr>
      <w:bookmarkStart w:id="48" w:name="toc_sec_0016"/>
      <w:bookmarkStart w:id="49" w:name="_Toc241066032"/>
      <w:r w:rsidRPr="00AD3643">
        <w:rPr>
          <w:rFonts w:ascii="Times New Roman" w:hAnsi="Times New Roman" w:cs="Times New Roman"/>
          <w:sz w:val="24"/>
          <w:szCs w:val="24"/>
          <w:lang w:val="en-US"/>
        </w:rPr>
        <w:t>AMC1 145.A.30(a) Personnel requirements</w:t>
      </w:r>
      <w:bookmarkEnd w:id="48"/>
      <w:bookmarkEnd w:id="49"/>
    </w:p>
    <w:p w14:paraId="305FBC56"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ACCOUNTABLE MANAGER</w:t>
      </w:r>
    </w:p>
    <w:p w14:paraId="5DB552CF" w14:textId="709E994A"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Accountable manager is normally intended to mean the chief executive officer of the approved maintenance organisation, who by virtue of his or her position has overall (including in particular financial) responsibility for running the organisation. The accountable manager may be the accountable manager for more than one organisation and is not necessarily required to be knowledgeable on technical matters, as the MOE defines the maintenance standards. When the </w:t>
      </w:r>
      <w:r w:rsidRPr="00AD3643">
        <w:rPr>
          <w:rFonts w:ascii="Times New Roman" w:hAnsi="Times New Roman" w:cs="Times New Roman"/>
          <w:sz w:val="24"/>
          <w:szCs w:val="24"/>
          <w:lang w:val="en-US"/>
        </w:rPr>
        <w:lastRenderedPageBreak/>
        <w:t>accountable manager is not the chief executive officer, the organisation should demonstrate to the competent authority that the accountable manager has direct access to the chief executive officer and has the necessary funding allocation for the intended maintenance activities.</w:t>
      </w:r>
    </w:p>
    <w:p w14:paraId="1036B28F"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50" w:name="toc_sec_0017"/>
      <w:bookmarkStart w:id="51" w:name="_Toc241066033"/>
      <w:r w:rsidRPr="00AD3643">
        <w:rPr>
          <w:rFonts w:ascii="Times New Roman" w:hAnsi="Times New Roman" w:cs="Times New Roman"/>
          <w:sz w:val="24"/>
          <w:szCs w:val="24"/>
          <w:lang w:val="en-US"/>
        </w:rPr>
        <w:t>AMC1 145.A.30(b) Personnel requirements</w:t>
      </w:r>
      <w:bookmarkEnd w:id="50"/>
      <w:bookmarkEnd w:id="51"/>
    </w:p>
    <w:p w14:paraId="70F02FD6"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MANAGEMENT STRUCTURE FOR MAINTENANCE</w:t>
      </w:r>
    </w:p>
    <w:p w14:paraId="4968228C" w14:textId="77777777" w:rsidR="00E52167" w:rsidRPr="00AD3643" w:rsidRDefault="00E52167" w:rsidP="00C95D06">
      <w:pPr>
        <w:spacing w:after="0" w:line="240" w:lineRule="auto"/>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person or group of persons nominated under point 145.A.30(b), with the responsibility to ensure</w:t>
      </w:r>
    </w:p>
    <w:p w14:paraId="3B022DCD" w14:textId="77777777" w:rsidR="00E52167" w:rsidRPr="00AD3643" w:rsidRDefault="00E52167" w:rsidP="00C95D06">
      <w:pPr>
        <w:spacing w:after="0" w:line="240" w:lineRule="auto"/>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that the organisation works in accordance with the MOE and approved procedures (i.e. responsibility</w:t>
      </w:r>
    </w:p>
    <w:p w14:paraId="5DA3DC40" w14:textId="77777777" w:rsidR="00E52167" w:rsidRPr="00AD3643" w:rsidRDefault="00E52167" w:rsidP="00C95D06">
      <w:pPr>
        <w:spacing w:after="0" w:line="240" w:lineRule="auto"/>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for ensuring compliance) should represent the management structure of the organisation and be</w:t>
      </w:r>
    </w:p>
    <w:p w14:paraId="724567BA" w14:textId="77777777" w:rsidR="00E52167" w:rsidRPr="00AD3643" w:rsidRDefault="00E52167" w:rsidP="00C95D06">
      <w:pPr>
        <w:spacing w:after="0" w:line="240" w:lineRule="auto"/>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responsible for the daily operation of the organisation, in respect of all maintenance-related functions.</w:t>
      </w:r>
    </w:p>
    <w:p w14:paraId="6BA93AA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Dependent upon the size of the organisation, the Part-145 maintenance functions may be divided under nominated persons or combined in any number of ways. However, a maintenance function cannot be combined with the compliance monitoring function. The maintenance functions include maintenance/safety training, performance and certification of maintenance, equipment and component procurement, facility management, man-hour plan, etc., and it should be ensured that each Part-145 maintenance function is attributed to one nominated person.</w:t>
      </w:r>
    </w:p>
    <w:p w14:paraId="563C5B6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Dependent upon the extent of approval, the organisation structure should normally include a base maintenance manager, a line maintenance manager and a workshop manager, all of whom should report to the accountable manager except in a small Part-145 organisation where any one manager may also be the accountable manager, as determined by the competent authority.</w:t>
      </w:r>
    </w:p>
    <w:p w14:paraId="648B81E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base maintenance manager is responsible for ensuring that all base maintenance is carried out in the base maintenance hangar (or facility as provided for in point 4 of AMC1 145.A.25(a)) and to the standards specified in point 145.A.65. The base maintenance manager is also responsible for base maintenance-related corrective actions resulting from the compliance monitoring of point 145.A.200(a)(6).</w:t>
      </w:r>
    </w:p>
    <w:p w14:paraId="5703E5B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line maintenance manager is responsible for ensuring that all line maintenance including line defect rectification is carried out to the standards specified in point 145.A.65. This manager is also responsible for line maintenance-related corrective actions resulting from the compliance monitoring of point 145.A.200(a)(6).</w:t>
      </w:r>
    </w:p>
    <w:p w14:paraId="4B918DE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workshop manager is responsible for ensuring that all work on aircraft components in the workshop is carried out to the standards specified in point 145.A.65. This manager is also responsible for workshop-related corrective actions resulting from the compliance monitoring of point 145.A.200(a)(6).</w:t>
      </w:r>
    </w:p>
    <w:p w14:paraId="29FDB5A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(reserved).</w:t>
      </w:r>
    </w:p>
    <w:p w14:paraId="052DABB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Notwithstanding the examples of titles provided in points 2 - 5, the organisation may adopt any title for the foregoing managerial positions but it should identify to the competent authority the titles and the persons chosen to carry out these functions.</w:t>
      </w:r>
    </w:p>
    <w:p w14:paraId="4422721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Where an organisation chooses to appoint managers for all or any combination of the identified maintenance functions because of the size of the undertaking, these managers should report to the accountable manager through the nominated persons.</w:t>
      </w:r>
    </w:p>
    <w:p w14:paraId="787F9C91"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52" w:name="toc_sec_0018"/>
      <w:bookmarkStart w:id="53" w:name="_Toc241066034"/>
      <w:r w:rsidRPr="00AD3643">
        <w:rPr>
          <w:rFonts w:ascii="Times New Roman" w:hAnsi="Times New Roman" w:cs="Times New Roman"/>
          <w:sz w:val="24"/>
          <w:szCs w:val="24"/>
          <w:lang w:val="en-US"/>
        </w:rPr>
        <w:lastRenderedPageBreak/>
        <w:t>GM1 145.A.30(b) Personnel requirements</w:t>
      </w:r>
      <w:bookmarkEnd w:id="52"/>
      <w:bookmarkEnd w:id="53"/>
    </w:p>
    <w:p w14:paraId="52DA0D86"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RESPONSIBILITY FOR ENSURING COMPLIANCE</w:t>
      </w:r>
    </w:p>
    <w:p w14:paraId="04C2F74B" w14:textId="158D09A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person(s) nominated in accordance with 145.A.30(b) are responsible, in the day-to-day</w:t>
      </w:r>
      <w:r w:rsidR="00E852D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maintenance activities, for ensuring that the organisation personnel work in accordance with the</w:t>
      </w:r>
      <w:r w:rsidR="00E852D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applicable procedures and regulatory requirements.</w:t>
      </w:r>
    </w:p>
    <w:p w14:paraId="4695BE4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These nominated persons should demonstrate a complete understanding of the applicable regulatory</w:t>
      </w:r>
    </w:p>
    <w:p w14:paraId="515D8B03" w14:textId="525F9026"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requirements, and ensure that the organisation’s processes and standards accurately reflect these</w:t>
      </w:r>
      <w:r w:rsidR="00E852D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requirements. It is their role to ensure that compliance is proactively managed, and that early warning</w:t>
      </w:r>
    </w:p>
    <w:p w14:paraId="0CAAD09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signs of non-compliance are documented and acted upon.</w:t>
      </w:r>
    </w:p>
    <w:p w14:paraId="1010731E"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54" w:name="toc_sec_0019"/>
      <w:bookmarkStart w:id="55" w:name="_Toc241066035"/>
      <w:r w:rsidRPr="00AD3643">
        <w:rPr>
          <w:rFonts w:ascii="Times New Roman" w:hAnsi="Times New Roman" w:cs="Times New Roman"/>
          <w:sz w:val="24"/>
          <w:szCs w:val="24"/>
          <w:lang w:val="en-US"/>
        </w:rPr>
        <w:t>AMC1 145.A.30(c);(ca) Personnel requirements</w:t>
      </w:r>
      <w:bookmarkEnd w:id="54"/>
      <w:bookmarkEnd w:id="55"/>
    </w:p>
    <w:p w14:paraId="0E7A93D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MANAGEMENT AND COMPLIANCE MONITORING FUNCTION</w:t>
      </w:r>
    </w:p>
    <w:p w14:paraId="0F85B6E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Safety management If more than one person is designated for the development, administration and maintenance of effective safety management processes, the accountable manager should identify the person who acts as the unique focal point, i.e. the ‘safety manager’. The functions of the safety manager should be to:</w:t>
      </w:r>
    </w:p>
    <w:p w14:paraId="17C5BC8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facilitate hazard identification, risk assessment and management;</w:t>
      </w:r>
    </w:p>
    <w:p w14:paraId="17DEDC1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monitor the implementation of actions taken to mitigate risks, as listed in the safety action plan, unless action follow-up is addressed by the compliance monitoring function;</w:t>
      </w:r>
    </w:p>
    <w:p w14:paraId="5BAD3B2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provide periodic reports on safety performance to the safety review board (the functions of the safety review board are those defined in AMC1 145.A.200(a)(1));</w:t>
      </w:r>
    </w:p>
    <w:p w14:paraId="1FC37C9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(iv)    ensure the maintenance of safety management documentation;</w:t>
      </w:r>
    </w:p>
    <w:p w14:paraId="298EBD5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     ensure that there is safety training available, and that it meets acceptable standards;</w:t>
      </w:r>
    </w:p>
    <w:p w14:paraId="640367D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(vi)    provide advice on safety matters; and</w:t>
      </w:r>
    </w:p>
    <w:p w14:paraId="71B3486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(vii)   ensure the initiation and follow-up of internal occurrence investigations.</w:t>
      </w:r>
    </w:p>
    <w:p w14:paraId="05EE1C3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Compliance monitoring function If more than one person is designated for the compliance monitoring function, the accountable manager should identify the person who acts as the unique focal point, i.e. the ‘compliance monitoring manager’.</w:t>
      </w:r>
    </w:p>
    <w:p w14:paraId="1ABE5B9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role of the compliance monitoring manager should be to ensure that:</w:t>
      </w:r>
    </w:p>
    <w:p w14:paraId="13CCFE1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activities of the organisation are monitored for compliance with the applicable requirements and any additional requirements as established by the organisation, and that these activities are carried out properly under the supervision of the nominated persons referred to in points (b), (c) and (ca) of point 145.A.30;</w:t>
      </w:r>
    </w:p>
    <w:p w14:paraId="3A3B5A7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any maintenance contracted to another maintenance organisation is monitored for compliance with the contract or work order;</w:t>
      </w:r>
    </w:p>
    <w:p w14:paraId="120B73D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an audit plan is properly implemented, maintained, and continually reviewed and improved; and</w:t>
      </w:r>
    </w:p>
    <w:p w14:paraId="5C6786F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(iv)    corrections and corrective actions are requested as necessary.</w:t>
      </w:r>
    </w:p>
    <w:p w14:paraId="0AB1DB1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compliance monitoring manager should:</w:t>
      </w:r>
    </w:p>
    <w:p w14:paraId="642E087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not be one of the persons referred to in point 145.A.30(b);</w:t>
      </w:r>
    </w:p>
    <w:p w14:paraId="5508CA8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be able to demonstrate relevant knowledge, background and appropriate experience related to the activities of the organisation, including knowledge and experience in compliance monitoring; and</w:t>
      </w:r>
    </w:p>
    <w:p w14:paraId="4D4D6C9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(iii)   have access to all parts of the organisation, and as necessary, any subcontracted organisation.</w:t>
      </w:r>
    </w:p>
    <w:p w14:paraId="2E4B996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If the functions related to compliance monitoring or safety management are combined with other duties, the organisation should ensure that this does not result in any conflicts of interest. In particular, the compliance monitoring function should be independent from the maintenance functions.</w:t>
      </w:r>
    </w:p>
    <w:p w14:paraId="2548AEE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If the same person is designated to manage both the compliance monitoring function and safety management-related processes and tasks, the accountable manager, with regard to his or her direct accountability for safety, should ensure that sufficient resources are allocated to both functions, taking into account the size of the organisation, and the nature and complexity of its activities.</w:t>
      </w:r>
    </w:p>
    <w:p w14:paraId="706AAD6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Subject to a risk assessment and/or mitigation actions, and agreement by the competent authority, with due regard to the size of the organisation and the nature and complexity of its activities, the compliance monitoring manager role and/or safety manager role may be exercised by the accountable manager, provided that he or she has demonstrated the related competency.</w:t>
      </w:r>
    </w:p>
    <w:p w14:paraId="478A5DC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56" w:name="toc_sec_0020"/>
      <w:bookmarkStart w:id="57" w:name="_Toc241066036"/>
      <w:r w:rsidRPr="00AD3643">
        <w:rPr>
          <w:rFonts w:ascii="Times New Roman" w:hAnsi="Times New Roman" w:cs="Times New Roman"/>
          <w:sz w:val="24"/>
          <w:szCs w:val="24"/>
          <w:lang w:val="en-US"/>
        </w:rPr>
        <w:t>GM1 145.A.30(ca) Personnel requirements</w:t>
      </w:r>
      <w:bookmarkEnd w:id="56"/>
      <w:bookmarkEnd w:id="57"/>
    </w:p>
    <w:p w14:paraId="1E6D7F40"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MANAGER</w:t>
      </w:r>
    </w:p>
    <w:p w14:paraId="69B76D2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Depending on the size of the organisation and the nature and complexity of its activities, the safety manager may be assisted by additional safety personnel in performing all the safety management tasks defined in AMC1 145.A.200(a)(1).</w:t>
      </w:r>
    </w:p>
    <w:p w14:paraId="3CE24B4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Regardless of the organisational set-up, it is important that the safety manager remains the unique focal point for the development, administration, and maintenance of the organisation’s safety management processes.</w:t>
      </w:r>
    </w:p>
    <w:p w14:paraId="506EB6C9"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58" w:name="toc_sec_0021"/>
      <w:bookmarkStart w:id="59" w:name="_Toc241066037"/>
      <w:r w:rsidRPr="00AD3643">
        <w:rPr>
          <w:rFonts w:ascii="Times New Roman" w:hAnsi="Times New Roman" w:cs="Times New Roman"/>
          <w:sz w:val="24"/>
          <w:szCs w:val="24"/>
          <w:lang w:val="en-US"/>
        </w:rPr>
        <w:t>GM1 145.A.30(cb) Personnel requirements</w:t>
      </w:r>
      <w:bookmarkEnd w:id="58"/>
      <w:bookmarkEnd w:id="59"/>
    </w:p>
    <w:p w14:paraId="0B73FE9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RESPONSIBILITY OF THE NOMINATED PERSONS TO THE ACCOUNTABLE MANAGER</w:t>
      </w:r>
    </w:p>
    <w:p w14:paraId="7BFB0AF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There are different ways to set up the organisation including the possibility to have managerial layers</w:t>
      </w:r>
    </w:p>
    <w:p w14:paraId="68DFDE2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between the accountable manager and the nominated person. But the key principle is that, regardless</w:t>
      </w:r>
    </w:p>
    <w:p w14:paraId="71BB5E95" w14:textId="617A90AF"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of the arrangement, there is one nominated person responsible for each Part-145 function, this</w:t>
      </w:r>
      <w:r w:rsidR="00E852D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responsibility is recognised by that nominated person and the accountable manager, and a direct</w:t>
      </w:r>
      <w:r w:rsidR="00E852D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communication channel exists between them. The nominated person’s responsibility should not be</w:t>
      </w:r>
    </w:p>
    <w:p w14:paraId="3C28624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diluted into the various levels of management and should be free of conflicts of interest.</w:t>
      </w:r>
    </w:p>
    <w:p w14:paraId="744F2A3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60" w:name="toc_sec_0022"/>
      <w:bookmarkStart w:id="61" w:name="_Toc241066038"/>
      <w:r w:rsidRPr="00AD3643">
        <w:rPr>
          <w:rFonts w:ascii="Times New Roman" w:hAnsi="Times New Roman" w:cs="Times New Roman"/>
          <w:sz w:val="24"/>
          <w:szCs w:val="24"/>
          <w:lang w:val="en-US"/>
        </w:rPr>
        <w:t>AMC1 145.A.30(cc) Personnel requirements</w:t>
      </w:r>
      <w:bookmarkEnd w:id="60"/>
      <w:bookmarkEnd w:id="61"/>
    </w:p>
    <w:p w14:paraId="2C754A1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KNOWLEDGE, BACKGROUND AND EXPERIENCE OF NOMINATED PERSON(S)</w:t>
      </w:r>
    </w:p>
    <w:p w14:paraId="2AA8B3C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person or persons to be nominated in accordance with points (b), (c) and (ca) of point 145.A.30</w:t>
      </w:r>
    </w:p>
    <w:p w14:paraId="25063F4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should have:</w:t>
      </w:r>
    </w:p>
    <w:p w14:paraId="7BB53F2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practical experience and expertise in the application of aviation safety standards and safe operating practices;</w:t>
      </w:r>
    </w:p>
    <w:p w14:paraId="7345CC1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knowledge of:</w:t>
      </w:r>
    </w:p>
    <w:p w14:paraId="57B4268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human factors principles;</w:t>
      </w:r>
    </w:p>
    <w:p w14:paraId="35364F6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EU management system requirements and their application (including safety management systems and compliance monitoring);</w:t>
      </w:r>
    </w:p>
    <w:p w14:paraId="7F91C84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(c)   5 years of relevant work experience, of which at least 2 years should be from the aeronautical industry in an appropriate position;</w:t>
      </w:r>
    </w:p>
    <w:p w14:paraId="16BD817F" w14:textId="3C0F3755"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(d)   a relevant engineering or technical degree, or an aircraft technician or maintenance engineer qualification with additional education that is acceptable to the competent authority. ‘Relevant engineering or technical degree’ means a degree from aeronautical, mechanical, electrical, electronic, avionics or other studies that are relevant to the maintenance and/or continuing airworthiness of aircraft/aircraft components. The provision set out in the first paragraph of point (d) may be replaced by 2 years of experience in addition to those already recommended by paragraph (c) above. These 2 years should cover an appropriate combination of experience in tasks/activities related to maintenance and/or continuing airworthiness management and/or the surveillance of such tasks. For the person to be nominated in accordance with point (c) or (ca) of point </w:t>
      </w:r>
      <w:r w:rsidRPr="00F1457D">
        <w:rPr>
          <w:rFonts w:ascii="Times New Roman" w:hAnsi="Times New Roman" w:cs="Times New Roman"/>
          <w:sz w:val="24"/>
          <w:szCs w:val="24"/>
          <w:lang w:val="en-US"/>
        </w:rPr>
        <w:t xml:space="preserve">145.A.30, in the case where the organisation holds one or more additional organisation certificates within the scope of </w:t>
      </w:r>
      <w:r w:rsidR="00F1457D">
        <w:rPr>
          <w:rFonts w:ascii="Times New Roman" w:hAnsi="Times New Roman" w:cs="Times New Roman"/>
          <w:sz w:val="24"/>
          <w:szCs w:val="24"/>
          <w:lang w:val="en-US"/>
        </w:rPr>
        <w:t xml:space="preserve">Aviation Code no. 301/2017 </w:t>
      </w:r>
      <w:r w:rsidRPr="00AD3643">
        <w:rPr>
          <w:rFonts w:ascii="Times New Roman" w:hAnsi="Times New Roman" w:cs="Times New Roman"/>
          <w:sz w:val="24"/>
          <w:szCs w:val="24"/>
          <w:lang w:val="en-US"/>
        </w:rPr>
        <w:t>and that person has already an equivalent position (i.e. compliance monitoring manager, safety manager) under the additional certificate(s) held, the provisions set out in the first two paragraphs of point (d) may be replaced by the completion of a specific training programme acceptable to the competent authority to gain an adequate understanding of maintenance standards and continuing airworthiness concepts and principles;</w:t>
      </w:r>
    </w:p>
    <w:p w14:paraId="7F1DAB0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thorough knowledge of the organisation's MOE and safety policy;</w:t>
      </w:r>
    </w:p>
    <w:p w14:paraId="3037B0E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knowledge of a relevant sample of the type(s) of aircraft or components gained through a formalised training course. These courses could be provided by a Part-147 organisation, by the manufacturer, by the Part-145 organisation or by any other organisation accepted by the competent authority. Aircraft/engine type training courses should be at least at a level equivalent to the Part-66 Appendix III Level 1 General Familiarisation. ‘Relevant sample’ means that these courses should cover typical aircraft or components that are within the scope of work of the organisation. For all balloons and any other aircraft of 2 730 kg MTOM or less, the formalised training courses may be replaced by a demonstration of the required knowledge by providing documented evidence, or by an assessment acceptable to the competent authority. This assessment should be recorded;</w:t>
      </w:r>
    </w:p>
    <w:p w14:paraId="638A0A3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knowledge of the relevant maintenance methods (and how they are applied in the organisation) and/or specific knowledge relevant to the area for which the person will be nominated;</w:t>
      </w:r>
    </w:p>
    <w:p w14:paraId="41B7F08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knowledge of the applicable regulations;</w:t>
      </w:r>
    </w:p>
    <w:p w14:paraId="489406A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adequate language and communication skills.</w:t>
      </w:r>
    </w:p>
    <w:p w14:paraId="71CFD55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62" w:name="toc_sec_0023"/>
      <w:bookmarkStart w:id="63" w:name="_Toc241066039"/>
      <w:r w:rsidRPr="00AD3643">
        <w:rPr>
          <w:rFonts w:ascii="Times New Roman" w:hAnsi="Times New Roman" w:cs="Times New Roman"/>
          <w:sz w:val="24"/>
          <w:szCs w:val="24"/>
          <w:lang w:val="en-US"/>
        </w:rPr>
        <w:t>AMC1 145.A.30(d) Personnel requirements</w:t>
      </w:r>
      <w:bookmarkEnd w:id="62"/>
      <w:bookmarkEnd w:id="63"/>
    </w:p>
    <w:p w14:paraId="7E065071"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SUFFICIENT NUMBER OF PERSONNEL</w:t>
      </w:r>
    </w:p>
    <w:p w14:paraId="5348E94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Has sufficient staff means that the organisation employs or contracts competent staff, as detailed in the man-hour plan, of which at least half the staff that perform maintenance in each workshop, hangar or flight line on any shift should be employed to ensure organisational</w:t>
      </w:r>
    </w:p>
    <w:p w14:paraId="2F2AF85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stability. For the purpose of meeting a specific operational necessity, a temporary increase of the proportion of contracted staff may be permitted to the organisation by the competent authority, in accordance with an approved procedure which should describe the extent, specific duties, and responsibilities for ensuring adequate organisation stability. For the purpose of this subparagraph, employed means the person is directly employed as an individual by the maintenance organisation </w:t>
      </w:r>
      <w:r w:rsidRPr="00AD3643">
        <w:rPr>
          <w:rFonts w:ascii="Times New Roman" w:hAnsi="Times New Roman" w:cs="Times New Roman"/>
          <w:sz w:val="24"/>
          <w:szCs w:val="24"/>
          <w:lang w:val="en-US"/>
        </w:rPr>
        <w:lastRenderedPageBreak/>
        <w:t>approved under Part-145, whereas contracted means the person is employed by another organisation and contracted by that organisation to the maintenance organisation approved under Part-145.</w:t>
      </w:r>
    </w:p>
    <w:p w14:paraId="1E8581B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maintenance man-hour plan should take into account all maintenance activities carried out outside the scope of the Part-145 approval. The planned absence (for training, vacations, etc.) should be considered when developing the man-hour plan.</w:t>
      </w:r>
    </w:p>
    <w:p w14:paraId="02CD083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maintenance man-hour plan should relate to the anticipated maintenance work load except that when the organisation cannot predict such workload, due to the short term nature of its contracts, then such plan should be based upon the minimum maintenance workload needed for commercial viability. Maintenance work load includes all necessary work such as, but not limited to, planning, maintenance record checks, production of worksheets/cards in paper or electronic form, accomplishment of maintenance, inspection and the completion of maintenance records.</w:t>
      </w:r>
    </w:p>
    <w:p w14:paraId="0EC1FB0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For aircraft base maintenance, the maintenance man-hour plan should relate to the aircraft hangar visit plan as specified in AMC1 145.A.25(a).</w:t>
      </w:r>
    </w:p>
    <w:p w14:paraId="42C91B5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For aircraft component maintenance, the maintenance man-hour plan should relate to the aircraft component planned maintenance as specified in point 145.A.25(a)(2).</w:t>
      </w:r>
    </w:p>
    <w:p w14:paraId="382A752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The man-hours allocated to the compliance monitoring function should be sufficient to meet the requirement of point 145.A.200(a)(6) which means taking into account the AMC to 145.A.200(a)(6). Where compliance monitoring staff also perform other functions, the time allocated to those functions needs to be taken into account in determining the number of compliance monitoring staff.</w:t>
      </w:r>
    </w:p>
    <w:p w14:paraId="4FDD3AE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The maintenance man-hour plan should be reviewed at least every 3 months and updated when necessary.</w:t>
      </w:r>
    </w:p>
    <w:p w14:paraId="752877D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Significant deviation from the maintenance man-hour plan should be reported through the departmental manager to the compliance monitoring manager and the accountable manager for review. It may also be reported through the internal safety reporting scheme. A significant deviation means that there is more than a 25% shortfall in available man-hours during a calendar month for any one of the functions specified in point 145.A.30(d).</w:t>
      </w:r>
    </w:p>
    <w:p w14:paraId="2C8981F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9.   In addition, as part of its management system in accordance with point 145.A.200, the organisation should have a procedure to assess and mitigate the risks:</w:t>
      </w:r>
    </w:p>
    <w:p w14:paraId="324BB01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if the actual number of staff available is less than the planned staffing level for any particular work shift or period;</w:t>
      </w:r>
    </w:p>
    <w:p w14:paraId="1CAED6D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if there is a temporary increase in the proportion of contracted staff in order to meet specific operational needs.</w:t>
      </w:r>
    </w:p>
    <w:p w14:paraId="7A73EAD0"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64" w:name="toc_sec_0024"/>
      <w:bookmarkStart w:id="65" w:name="_Toc241066040"/>
      <w:r w:rsidRPr="009F0D3D">
        <w:rPr>
          <w:rFonts w:ascii="Times New Roman" w:hAnsi="Times New Roman" w:cs="Times New Roman"/>
          <w:sz w:val="24"/>
          <w:szCs w:val="24"/>
          <w:lang w:val="en-US"/>
        </w:rPr>
        <w:t>AMC1 145.A.30(e) Personnel requirements</w:t>
      </w:r>
      <w:bookmarkEnd w:id="64"/>
      <w:bookmarkEnd w:id="65"/>
    </w:p>
    <w:p w14:paraId="5382963C"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COMPETENCY ASSESSMENT OBJECTIVES</w:t>
      </w:r>
    </w:p>
    <w:p w14:paraId="53CA4F4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procedure referred to in 145.A.30(e) should require amongst others that planners, mechanics,</w:t>
      </w:r>
    </w:p>
    <w:p w14:paraId="134FCAE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specialised services staff, supervisors, certifying staff and support staff, whether employed or</w:t>
      </w:r>
    </w:p>
    <w:p w14:paraId="7726F82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contracted, are assessed for competency before unsupervised work commences and competency is</w:t>
      </w:r>
    </w:p>
    <w:p w14:paraId="2D0A9E8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controlled on a continuous basis.</w:t>
      </w:r>
    </w:p>
    <w:p w14:paraId="0B714B7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Competency should be assessed by the evaluation of:</w:t>
      </w:r>
    </w:p>
    <w:p w14:paraId="146999B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on-the-job performance and/or testing of knowledge by appropriately qualified personnel, and</w:t>
      </w:r>
    </w:p>
    <w:p w14:paraId="323B71E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records for basic, organisational, or tasks training and/or product type and differences training, and</w:t>
      </w:r>
    </w:p>
    <w:p w14:paraId="2D8E668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     experience records.</w:t>
      </w:r>
    </w:p>
    <w:p w14:paraId="4AFFB27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Validation of the above could include a confirmation check with the organisation(s) that issued the</w:t>
      </w:r>
    </w:p>
    <w:p w14:paraId="4E6F4BC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document(s). For that purpose, experience/training may be recorded in a document such as a log</w:t>
      </w:r>
    </w:p>
    <w:p w14:paraId="1EBA565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book, or based on the suggested template in GM3 145.A.30(e).</w:t>
      </w:r>
    </w:p>
    <w:p w14:paraId="6D8E89D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 a result of this assessment, an individual’s qualifications should determine:</w:t>
      </w:r>
    </w:p>
    <w:p w14:paraId="104BC9B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scope of tasks this individual is authorised to perform and/or supervise and/or sign off (as</w:t>
      </w:r>
    </w:p>
    <w:p w14:paraId="468630A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applicable) or which level of ongoing supervision would be required;</w:t>
      </w:r>
    </w:p>
    <w:p w14:paraId="2505088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whether there is a need for additional training.</w:t>
      </w:r>
    </w:p>
    <w:p w14:paraId="4D23F92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record should be kept of each individual’s qualifications and competency assessment (refer also to</w:t>
      </w:r>
    </w:p>
    <w:p w14:paraId="781B3C0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point 145.A.55(d)). This should include copies of all documents that attest to their qualifications, such</w:t>
      </w:r>
    </w:p>
    <w:p w14:paraId="47DA4B4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 a licence and/or any authorisation held, as applicable.</w:t>
      </w:r>
    </w:p>
    <w:p w14:paraId="1C86DD4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For a proper competency assessment of its personnel, the organisation should consider that:</w:t>
      </w:r>
    </w:p>
    <w:p w14:paraId="7CE4AC2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In accordance with the job function, adequate initial and recurrent training has been received by the staff and recorded to ensure continued competency so that it is maintained throughout the duration of the employment/contract.</w:t>
      </w:r>
    </w:p>
    <w:p w14:paraId="6BAC9A6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All staff should be able to demonstrate knowledge of, and compliance with, the maintenance organisation’s procedures, as applicable to their duties.</w:t>
      </w:r>
    </w:p>
    <w:p w14:paraId="57AC133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All staff should be able to demonstrate an understanding of the safety management principles, including human factors related to their job function, and be trained as per AMC4 145.A.30(e).</w:t>
      </w:r>
    </w:p>
    <w:p w14:paraId="7F6B29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To assist in the assessment of competency and to establish the training needs analysis, job descriptions are recommended for each job function in the organisation. Job descriptions should contain sufficient criteria to enable the required competency assessment.</w:t>
      </w:r>
    </w:p>
    <w:p w14:paraId="4D2ECBF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Criteria should allow the assessment to establish that, among other aspects (titles might be different in each organisation):</w:t>
      </w:r>
    </w:p>
    <w:p w14:paraId="1753118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Managers are able to properly manage the work output, processes, resources and priorities described in their assigned duties, accountabilities and responsibilities in accordance with the safety policy and objectives and in compliance with the applicable requirements.</w:t>
      </w:r>
    </w:p>
    <w:p w14:paraId="68D34EB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Planners are able to interpret maintenance requirements into maintenance tasks, and have an understanding that they have no authority to deviate from the maintenance</w:t>
      </w:r>
    </w:p>
    <w:p w14:paraId="0D8090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data. They are able to organise maintenance activities in an effective manner and in consideration of human performance limitations.</w:t>
      </w:r>
    </w:p>
    <w:p w14:paraId="1831E21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Supervisors are able to ensure that all the required maintenance tasks are carried out and, if they are not completed or it is evident that a particular maintenance task cannot be carried out according to the maintenance data, that these problems will be adequately addressed to eliminate the non-compliance, and reported through the internal safety reporting scheme to prevent their reoccurrence. In addition, for those supervisors, who also carry out maintenance tasks, the assessment should ensure that they understand that such tasks should not be undertaken if they are incompatible with their management responsibilities.</w:t>
      </w:r>
    </w:p>
    <w:p w14:paraId="4CBC730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Mechanics are able to carry out maintenance tasks to any standard specified in the maintenance data, and will notify their supervisors of any defects or mistakes requiring rectification to re-establish the required maintenance standards.</w:t>
      </w:r>
    </w:p>
    <w:p w14:paraId="74960DD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Specialised services staff are able to carry out specialised maintenance tasks to the standard specified in the maintenance data. They should be able to communicate with their supervisors and report accurately when necessary.</w:t>
      </w:r>
    </w:p>
    <w:p w14:paraId="3B9CD3D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     Support staff are able to determine that the relevant tasks or inspections have been carried out to the required standard.</w:t>
      </w:r>
    </w:p>
    <w:p w14:paraId="0A77622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Certifying staff are able to determine when the aircraft or aircraft component maintenance is ready to be released to service and when it should not be released to service.</w:t>
      </w:r>
    </w:p>
    <w:p w14:paraId="20FE435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Compliance monitoring staff are able to monitor compliance with this Regulation and to identify non-compliances in an effective and timely manner so that the organisation may remain in compliance with this Regulation.</w:t>
      </w:r>
    </w:p>
    <w:p w14:paraId="556A6F7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Staff who have safety management responsibilities are familiar with the relevant processes in terms of hazard identification, risk management, and the monitoring of safety performance.</w:t>
      </w:r>
    </w:p>
    <w:p w14:paraId="6F441D8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All staff are familiar with the safety policy and the procedures and tools that can be used for internal safety reporting.</w:t>
      </w:r>
    </w:p>
    <w:p w14:paraId="232D74F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competency assessment should be based upon the procedure specified in GM2 145.A.30(e).</w:t>
      </w:r>
    </w:p>
    <w:p w14:paraId="21ED3F76"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66" w:name="toc_sec_0025"/>
      <w:bookmarkStart w:id="67" w:name="_Toc241066041"/>
      <w:r w:rsidRPr="009F0D3D">
        <w:rPr>
          <w:rFonts w:ascii="Times New Roman" w:hAnsi="Times New Roman" w:cs="Times New Roman"/>
          <w:sz w:val="24"/>
          <w:szCs w:val="24"/>
          <w:lang w:val="en-US"/>
        </w:rPr>
        <w:t>AMC2 145.A.30(e) Personnel requirements</w:t>
      </w:r>
      <w:bookmarkEnd w:id="66"/>
      <w:bookmarkEnd w:id="67"/>
    </w:p>
    <w:p w14:paraId="48333C32"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COMPETENCY ASSESSMENT PROCEDURE</w:t>
      </w:r>
    </w:p>
    <w:p w14:paraId="70991AE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organisation should develop a procedure that describes the process for conducting competency assessments of personnel. The procedure should specify:</w:t>
      </w:r>
    </w:p>
    <w:p w14:paraId="3CAB3BA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persons who are responsible for this process;</w:t>
      </w:r>
    </w:p>
    <w:p w14:paraId="101D81F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when the assessments should take place;</w:t>
      </w:r>
    </w:p>
    <w:p w14:paraId="570FAEF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how to give credit from previous assessments;</w:t>
      </w:r>
    </w:p>
    <w:p w14:paraId="0FB7B8C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how to validate qualification records;</w:t>
      </w:r>
    </w:p>
    <w:p w14:paraId="1637B67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means and methods to be used for the initial assessment;</w:t>
      </w:r>
    </w:p>
    <w:p w14:paraId="725F610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the means and methods to be used for the continuous control of competency, including how to gather feedback on the performance of personnel;</w:t>
      </w:r>
    </w:p>
    <w:p w14:paraId="5019F7B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the aspects of competencies to be observed during the assessment in relation to each job function;</w:t>
      </w:r>
    </w:p>
    <w:p w14:paraId="0F4063A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the actions to be taken if the assessment is not satisfactory; and</w:t>
      </w:r>
    </w:p>
    <w:p w14:paraId="343C889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(9)   how to record the assessment results.</w:t>
      </w:r>
    </w:p>
    <w:p w14:paraId="114FD64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Competency may be assessed by having the person work under the supervision of another qualified person for a sufficient time to arrive at a conclusion. Sufficient time could range from several days to several weeks depending on the complexity of the task(s) and the work</w:t>
      </w:r>
    </w:p>
    <w:p w14:paraId="3EDD279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exposure. The person need not be assessed against the complete spectrum of their intended</w:t>
      </w:r>
    </w:p>
    <w:p w14:paraId="4544504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duties. If the person has been recruited from another approved maintenance organisation, a written confirmation from the previous organisation could be taken into consideration to reduce the duration of the assessment.</w:t>
      </w:r>
    </w:p>
    <w:p w14:paraId="68C882C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All prospective maintenance staff should be assessed for their competency related to their intended duties.</w:t>
      </w:r>
    </w:p>
    <w:p w14:paraId="6F4D8446"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68" w:name="toc_sec_0026"/>
      <w:bookmarkStart w:id="69" w:name="_Toc241066042"/>
      <w:r w:rsidRPr="009F0D3D">
        <w:rPr>
          <w:rFonts w:ascii="Times New Roman" w:hAnsi="Times New Roman" w:cs="Times New Roman"/>
          <w:sz w:val="24"/>
          <w:szCs w:val="24"/>
          <w:lang w:val="en-US"/>
        </w:rPr>
        <w:t>AMC3 145.A.30(e) Personnel requirements</w:t>
      </w:r>
      <w:bookmarkEnd w:id="68"/>
      <w:bookmarkEnd w:id="69"/>
    </w:p>
    <w:p w14:paraId="070B225E"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INITIAL AND RECURRENT TRAINING</w:t>
      </w:r>
    </w:p>
    <w:p w14:paraId="513221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Adequate initial and recurrent training should be provided in relation to the job function to ensure that staff remain competent. Completion of such training should be recorded.</w:t>
      </w:r>
    </w:p>
    <w:p w14:paraId="0B3A268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(b)   Recurrent training should take into account the information reported through the internal safety reporting scheme (see point (c)(3) of AMC1 145.A.202).</w:t>
      </w:r>
    </w:p>
    <w:p w14:paraId="50E5A6A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Those responsible for managing the compliance monitoring function should receive training on this task. Such training should cover the requirements of compliance monitoring, manuals and procedures related to the task, audit techniques, reporting, and recording.</w:t>
      </w:r>
    </w:p>
    <w:p w14:paraId="1537D7D9"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70" w:name="toc_sec_0027"/>
      <w:bookmarkStart w:id="71" w:name="_Toc241066043"/>
      <w:r w:rsidRPr="009F0D3D">
        <w:rPr>
          <w:rFonts w:ascii="Times New Roman" w:hAnsi="Times New Roman" w:cs="Times New Roman"/>
          <w:sz w:val="24"/>
          <w:szCs w:val="24"/>
          <w:lang w:val="en-US"/>
        </w:rPr>
        <w:t>AMC4 145.A.30(e) Personnel requirements</w:t>
      </w:r>
      <w:bookmarkEnd w:id="70"/>
      <w:bookmarkEnd w:id="71"/>
    </w:p>
    <w:p w14:paraId="7E1ADBD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TRAINING (INCLUDING HUMAN FACTORS)</w:t>
      </w:r>
    </w:p>
    <w:p w14:paraId="6770BE6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With respect to the understanding of the application of safety management principles (including human factors), all maintenance organisation personnel should be assessed for the need to receive initial safety training. Personnel involved in the delivery of the basic maintenance service of the organisation should receive both initial and recurrent safety training, appropriate for their responsibilities. This should include at least the following staff members:</w:t>
      </w:r>
    </w:p>
    <w:p w14:paraId="6B44E2C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Nominated persons, line managers, supervisors;</w:t>
      </w:r>
    </w:p>
    <w:p w14:paraId="4CBC23E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Certifying staff, support staff and mechanics;</w:t>
      </w:r>
    </w:p>
    <w:p w14:paraId="68BA902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Technical support personnel such as planners, engineers, technical record staff;</w:t>
      </w:r>
    </w:p>
    <w:p w14:paraId="5839720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Persons involved in compliance monitoring and/or safety management-related processes and tasks, including the application of human factors principles, internal investigations and safety training;</w:t>
      </w:r>
    </w:p>
    <w:p w14:paraId="2ED8370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Specialised services staff;</w:t>
      </w:r>
    </w:p>
    <w:p w14:paraId="37C4FCF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Stores department staff, purchasing department staff;</w:t>
      </w:r>
    </w:p>
    <w:p w14:paraId="1B2A34C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Ground equipment operators. The generic term ‘line managers’ refers to departmental heads or persons responsible for operational departments or functional units that are directly involved in the delivery of the basic maintenance services of the organisation.</w:t>
      </w:r>
    </w:p>
    <w:p w14:paraId="3D3778F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Initial safety training should cover all the topics of the training syllabus specified in GM1 145.A.30(e) either as a dedicated course or else integrated within other training. The syllabus may be adjusted to reflect the particular nature of the organisation. The syllabus may also be adjusted to suit the particular nature of work for each function within the organisation. For example:</w:t>
      </w:r>
    </w:p>
    <w:p w14:paraId="142901F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small organisations not working in shifts may cover in less depth subjects related to teamwork and communication;</w:t>
      </w:r>
    </w:p>
    <w:p w14:paraId="043E015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planners may cover in more depth the scheduling and planning objectives of the syllabus, and in less depth the objective of developing skills for shift working. All personnel identified in accordance with point (a) of this AMC, including personnel being recruited from any other organisation should receive initial safety training compliant with the organisation’s training standards prior to commencing the actual job function, unless their competency assessment justifies that there is no need for such training. New, directly employed personnel working under direct supervision may receive training within 6 months after joining the maintenance organisation.</w:t>
      </w:r>
    </w:p>
    <w:p w14:paraId="59C6CD9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purpose of recurrent safety training is primarily to ensure that staff remain current in terms of SMS principles and human factors and also to collect feedback on safety and human factors</w:t>
      </w:r>
    </w:p>
    <w:p w14:paraId="3ACAB3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issues. Consideration should be given to involving compliance monitoring staff and the key safety management personnel in this training to provide a consistent presence and facilitate</w:t>
      </w:r>
    </w:p>
    <w:p w14:paraId="0D529A6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feedback. There should be a procedure to ensure that feedback is formally reported by the trainers through the internal safety reporting scheme to initiate action where necessary.</w:t>
      </w:r>
    </w:p>
    <w:p w14:paraId="34F9CBD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Recurrent safety training should be delivered either as a dedicated course or integrated within other training. It should be of an appropriate duration in each 2-year period in relation to the relevant compliance monitoring audit findings and other internal/external sources of information available to the organisation on safety and human factors maintenance issues.</w:t>
      </w:r>
    </w:p>
    <w:p w14:paraId="6E0DC4F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Safety training may be conducted by the maintenance organisation itself, independent trainers, or any training organisations acceptable to the competent authority.</w:t>
      </w:r>
    </w:p>
    <w:p w14:paraId="2149BA4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The safety training procedures should be specified in the MOE.</w:t>
      </w:r>
    </w:p>
    <w:p w14:paraId="247C1687"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72" w:name="toc_sec_0028"/>
      <w:bookmarkStart w:id="73" w:name="_Toc241066044"/>
      <w:r w:rsidRPr="009F0D3D">
        <w:rPr>
          <w:rFonts w:ascii="Times New Roman" w:hAnsi="Times New Roman" w:cs="Times New Roman"/>
          <w:sz w:val="24"/>
          <w:szCs w:val="24"/>
          <w:lang w:val="en-US"/>
        </w:rPr>
        <w:t>AMC5 145.A.30(e) Personnel requirements</w:t>
      </w:r>
      <w:bookmarkEnd w:id="72"/>
      <w:bookmarkEnd w:id="73"/>
    </w:p>
    <w:p w14:paraId="07F37B0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OTHER TRAININGS</w:t>
      </w:r>
    </w:p>
    <w:p w14:paraId="22C2EC6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organisation should assess the need for particular trainings, for example with regard to the ‘Electrical Wiring Interconnection System’ (EWIS) or ‘Critical Design Configuration Control Limitations’ (CDCCL).</w:t>
      </w:r>
    </w:p>
    <w:p w14:paraId="2AF4A5E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Guidance on EWIS training programme for maintenance organisation personnel is provided in AMC 20-22.</w:t>
      </w:r>
    </w:p>
    <w:p w14:paraId="068D716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Guidance on fuel tank safety training is provided in ‘Appendix IV to AMC5 145.A.30(e) and AMC2 145.B.200(a)(3)’.</w:t>
      </w:r>
    </w:p>
    <w:p w14:paraId="7B433D46"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74" w:name="toc_sec_0029"/>
      <w:bookmarkStart w:id="75" w:name="_Toc241066045"/>
      <w:r w:rsidRPr="009F0D3D">
        <w:rPr>
          <w:rFonts w:ascii="Times New Roman" w:hAnsi="Times New Roman" w:cs="Times New Roman"/>
          <w:sz w:val="24"/>
          <w:szCs w:val="24"/>
          <w:lang w:val="en-US"/>
        </w:rPr>
        <w:t>GM1 145.A.30(e) Personnel requirements</w:t>
      </w:r>
      <w:bookmarkEnd w:id="74"/>
      <w:bookmarkEnd w:id="75"/>
    </w:p>
    <w:p w14:paraId="5BF5DEB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TRAINING SYLLABUS FOR INITIAL SAFETY TRAINING (INCLUDING HUMAN FACTORS)</w:t>
      </w:r>
    </w:p>
    <w:p w14:paraId="026DA28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training syllabus below identifies the topics and subtopics to be addressed during the safety</w:t>
      </w:r>
    </w:p>
    <w:p w14:paraId="430076D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training.</w:t>
      </w:r>
    </w:p>
    <w:p w14:paraId="03DC34F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maintenance organisation may combine, divide, or change the order of any of the subjects in the</w:t>
      </w:r>
    </w:p>
    <w:p w14:paraId="31E8687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syllabus to suit its own needs, as long as all the subjects are covered to a level of detail appropriate to</w:t>
      </w:r>
    </w:p>
    <w:p w14:paraId="3BFD097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organisation and its personnel, including the varying level of seniority of that personnel.</w:t>
      </w:r>
    </w:p>
    <w:p w14:paraId="7561828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Some of the topics may be covered in separate training courses (e.g. health and safety, management,</w:t>
      </w:r>
    </w:p>
    <w:p w14:paraId="38D8925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supervisory skills, etc.) in which case duplication of training is not necessary.</w:t>
      </w:r>
    </w:p>
    <w:p w14:paraId="60488148" w14:textId="108037AE"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Where possible, practical illustrations and examples should be used, especially accident and incident</w:t>
      </w:r>
      <w:r w:rsidR="00513A8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reports.</w:t>
      </w:r>
    </w:p>
    <w:p w14:paraId="589481B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Topics should be related to existing legislation, where relevant. Topics should be related to existing</w:t>
      </w:r>
    </w:p>
    <w:p w14:paraId="5442470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guidance/advisory material, where relevant (e.g. ICAO HF Digests and Training Manual).</w:t>
      </w:r>
    </w:p>
    <w:p w14:paraId="0DAB3B0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Topics should be related to the maintenance activities of the organisation to the greatest extent</w:t>
      </w:r>
    </w:p>
    <w:p w14:paraId="7D031A9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possible; too much unrelated theory should be avoided.</w:t>
      </w:r>
    </w:p>
    <w:p w14:paraId="4A55E41F"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1. General/Introduction to safety management and human factors </w:t>
      </w:r>
    </w:p>
    <w:p w14:paraId="5C1D513A"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1.1. Need to address safety management and human factors </w:t>
      </w:r>
    </w:p>
    <w:p w14:paraId="6BC20159"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1.2. Statistics </w:t>
      </w:r>
    </w:p>
    <w:p w14:paraId="0CBAA706"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1.3. Incidents </w:t>
      </w:r>
    </w:p>
    <w:p w14:paraId="6FA65609"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1a. Safety risk management </w:t>
      </w:r>
    </w:p>
    <w:p w14:paraId="61A6C056" w14:textId="5B3F94B3" w:rsidR="00E52167"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1a.1. Hazard identification</w:t>
      </w:r>
    </w:p>
    <w:p w14:paraId="19FA789C"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1a.2. Safety risk assessment </w:t>
      </w:r>
    </w:p>
    <w:p w14:paraId="38F1BB5C"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1a.3. Risk mitigation and management </w:t>
      </w:r>
    </w:p>
    <w:p w14:paraId="2CAD853A"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1a.4. Effectiveness of safety risk management </w:t>
      </w:r>
    </w:p>
    <w:p w14:paraId="17DCBC84"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lastRenderedPageBreak/>
        <w:t xml:space="preserve">2. Safety Culture/Organisational factors </w:t>
      </w:r>
    </w:p>
    <w:p w14:paraId="0A38E182"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2.1 Justness/trust </w:t>
      </w:r>
    </w:p>
    <w:p w14:paraId="432FEBA1"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2.2 Commitment to safety </w:t>
      </w:r>
    </w:p>
    <w:p w14:paraId="206F4A32"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2.3 Adaptability </w:t>
      </w:r>
    </w:p>
    <w:p w14:paraId="687E174F"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2.4 Awareness </w:t>
      </w:r>
    </w:p>
    <w:p w14:paraId="485125EA"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2.5 Behaviour </w:t>
      </w:r>
    </w:p>
    <w:p w14:paraId="6C285148"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2.6 Information </w:t>
      </w:r>
    </w:p>
    <w:p w14:paraId="61C317BD"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3. Human Error </w:t>
      </w:r>
    </w:p>
    <w:p w14:paraId="14728CBF"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3.1. Error models and theories </w:t>
      </w:r>
    </w:p>
    <w:p w14:paraId="098E421F"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3.2. Types of errors in maintenance tasks </w:t>
      </w:r>
    </w:p>
    <w:p w14:paraId="318B64B9"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3.3. Violations </w:t>
      </w:r>
    </w:p>
    <w:p w14:paraId="4BA3CF4B"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3.4. Implications of errors </w:t>
      </w:r>
    </w:p>
    <w:p w14:paraId="66545207"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3.5. Avoiding and managing errors </w:t>
      </w:r>
    </w:p>
    <w:p w14:paraId="4BDBB1F5"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3.6. Human reliability </w:t>
      </w:r>
    </w:p>
    <w:p w14:paraId="4646CE8F"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 Human performance &amp; limitations </w:t>
      </w:r>
    </w:p>
    <w:p w14:paraId="256F1386"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4.1. Vision </w:t>
      </w:r>
    </w:p>
    <w:p w14:paraId="314CD1C6"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4.2. Hearing </w:t>
      </w:r>
    </w:p>
    <w:p w14:paraId="6B186774"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4.3. Information-processing </w:t>
      </w:r>
    </w:p>
    <w:p w14:paraId="2245B4C5"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4.4. Attention and perception </w:t>
      </w:r>
    </w:p>
    <w:p w14:paraId="6734A522"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4.5. Situational awareness </w:t>
      </w:r>
    </w:p>
    <w:p w14:paraId="69AFF2B3"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4.6. Memory </w:t>
      </w:r>
    </w:p>
    <w:p w14:paraId="1DFEA5B4"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4.7. Claustrophobia and physical access </w:t>
      </w:r>
    </w:p>
    <w:p w14:paraId="4D27BAB7"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4.8. Motivation </w:t>
      </w:r>
    </w:p>
    <w:p w14:paraId="0832CD89"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4.9. Fitness/health </w:t>
      </w:r>
    </w:p>
    <w:p w14:paraId="2003A616"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4.10. Stress </w:t>
      </w:r>
    </w:p>
    <w:p w14:paraId="47075F00"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4.11. Workload management </w:t>
      </w:r>
    </w:p>
    <w:p w14:paraId="00D46802"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4.12. Fatigue </w:t>
      </w:r>
    </w:p>
    <w:p w14:paraId="6FA6C281"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4.13. Alcohol, medication, drugs </w:t>
      </w:r>
    </w:p>
    <w:p w14:paraId="6B80CE64"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4.14. Physical work </w:t>
      </w:r>
    </w:p>
    <w:p w14:paraId="477ABD8D"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4.15. Repetitive tasks/complacency </w:t>
      </w:r>
    </w:p>
    <w:p w14:paraId="4AC6A15D" w14:textId="77777777" w:rsidR="00DE36CD" w:rsidRP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 xml:space="preserve">5. Environment </w:t>
      </w:r>
    </w:p>
    <w:p w14:paraId="5DB641AA" w14:textId="41295024" w:rsidR="00DE36CD" w:rsidRDefault="00DE36CD" w:rsidP="00C95D06">
      <w:pPr>
        <w:spacing w:after="0"/>
        <w:ind w:left="173"/>
        <w:jc w:val="both"/>
        <w:rPr>
          <w:rFonts w:ascii="Times New Roman" w:hAnsi="Times New Roman" w:cs="Times New Roman"/>
          <w:sz w:val="24"/>
          <w:szCs w:val="24"/>
          <w:lang w:val="en-US"/>
        </w:rPr>
      </w:pPr>
      <w:r w:rsidRPr="00DE36CD">
        <w:rPr>
          <w:rFonts w:ascii="Times New Roman" w:hAnsi="Times New Roman" w:cs="Times New Roman"/>
          <w:sz w:val="24"/>
          <w:szCs w:val="24"/>
          <w:lang w:val="en-US"/>
        </w:rPr>
        <w:t>5.1. Peer pressure</w:t>
      </w:r>
    </w:p>
    <w:p w14:paraId="0C8B85F6"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5.2. Stressors </w:t>
      </w:r>
    </w:p>
    <w:p w14:paraId="5F9EE3A4"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5.3. Time pressure and deadlines </w:t>
      </w:r>
    </w:p>
    <w:p w14:paraId="6D8FEA09"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5.4. Workload </w:t>
      </w:r>
    </w:p>
    <w:p w14:paraId="451244D8"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5.5. Shift work </w:t>
      </w:r>
    </w:p>
    <w:p w14:paraId="68E7E9C2"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5.6. Noise and fumes </w:t>
      </w:r>
    </w:p>
    <w:p w14:paraId="23FFA8C5"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5.7. Illumination </w:t>
      </w:r>
    </w:p>
    <w:p w14:paraId="21FA599F"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5.8. Climate and temperature </w:t>
      </w:r>
    </w:p>
    <w:p w14:paraId="1C4CEA40"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5.9. Motion and vibration </w:t>
      </w:r>
    </w:p>
    <w:p w14:paraId="4DC369A6"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5.10. Complex systems </w:t>
      </w:r>
    </w:p>
    <w:p w14:paraId="5CB8DB52"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5.11. Other hazards in the workplace </w:t>
      </w:r>
    </w:p>
    <w:p w14:paraId="3AC2C6B6"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5.12. Lack of manpower </w:t>
      </w:r>
    </w:p>
    <w:p w14:paraId="5D4DF980"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5.13. Distractions and interruptions </w:t>
      </w:r>
    </w:p>
    <w:p w14:paraId="136984FC"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lastRenderedPageBreak/>
        <w:t xml:space="preserve">6. Procedures, information, tools and practices </w:t>
      </w:r>
    </w:p>
    <w:p w14:paraId="521F7716"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6.1. Visual inspection </w:t>
      </w:r>
    </w:p>
    <w:p w14:paraId="1C286208"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6.2. Work logging and recording </w:t>
      </w:r>
    </w:p>
    <w:p w14:paraId="54459AFB"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6.3. Procedure - practice/mismatch/norms </w:t>
      </w:r>
    </w:p>
    <w:p w14:paraId="0D57735E"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6.4. Technical documentation - access and quality </w:t>
      </w:r>
    </w:p>
    <w:p w14:paraId="6EF18B01"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6.5. Critical maintenance tasks and error-capturing methods (independent inspection, </w:t>
      </w:r>
    </w:p>
    <w:p w14:paraId="436E857F"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reinspection, etc.) </w:t>
      </w:r>
    </w:p>
    <w:p w14:paraId="020434C7"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7. Communication </w:t>
      </w:r>
    </w:p>
    <w:p w14:paraId="76696F63"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7.1. Shift/task handover </w:t>
      </w:r>
    </w:p>
    <w:p w14:paraId="45E3128B"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7.2. Dissemination of information </w:t>
      </w:r>
    </w:p>
    <w:p w14:paraId="334B265A"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7.3. Cultural differences </w:t>
      </w:r>
    </w:p>
    <w:p w14:paraId="650B2BF3"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8. Teamwork </w:t>
      </w:r>
    </w:p>
    <w:p w14:paraId="78A200A3"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8.1. Responsibility </w:t>
      </w:r>
    </w:p>
    <w:p w14:paraId="79FF549D"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8.2. Management, supervision and leadership </w:t>
      </w:r>
    </w:p>
    <w:p w14:paraId="535DFE59"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8.3. Decision-making </w:t>
      </w:r>
    </w:p>
    <w:p w14:paraId="57F38B26"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9. Professionalism and integrity </w:t>
      </w:r>
    </w:p>
    <w:p w14:paraId="352E2372"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9.1. Keeping up to date; currency </w:t>
      </w:r>
    </w:p>
    <w:p w14:paraId="4612A2CE"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9.2. Avoiding error-provoking behaviour </w:t>
      </w:r>
    </w:p>
    <w:p w14:paraId="53FCA33C"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9.3. Assertiveness </w:t>
      </w:r>
    </w:p>
    <w:p w14:paraId="1E0F0BF1"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10. Organisation’s safety programme </w:t>
      </w:r>
    </w:p>
    <w:p w14:paraId="4249D98B"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10.1. Safety policy and objectives, just culture principles </w:t>
      </w:r>
    </w:p>
    <w:p w14:paraId="262B7DCB"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10.2.  Reporting errors and hazards, internal safety reporting scheme </w:t>
      </w:r>
    </w:p>
    <w:p w14:paraId="7CFAD7F5" w14:textId="6D85957B" w:rsid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10.3. Investigation process</w:t>
      </w:r>
    </w:p>
    <w:p w14:paraId="4871CB22" w14:textId="77777777" w:rsidR="0050471A" w:rsidRPr="0050471A"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 xml:space="preserve">10.4. Action to address problems </w:t>
      </w:r>
    </w:p>
    <w:p w14:paraId="59E95A53" w14:textId="508ABA42" w:rsidR="0050471A" w:rsidRPr="00AD3643" w:rsidRDefault="0050471A" w:rsidP="00C95D06">
      <w:pPr>
        <w:spacing w:after="0"/>
        <w:ind w:left="173"/>
        <w:jc w:val="both"/>
        <w:rPr>
          <w:rFonts w:ascii="Times New Roman" w:hAnsi="Times New Roman" w:cs="Times New Roman"/>
          <w:sz w:val="24"/>
          <w:szCs w:val="24"/>
          <w:lang w:val="en-US"/>
        </w:rPr>
      </w:pPr>
      <w:r w:rsidRPr="0050471A">
        <w:rPr>
          <w:rFonts w:ascii="Times New Roman" w:hAnsi="Times New Roman" w:cs="Times New Roman"/>
          <w:sz w:val="24"/>
          <w:szCs w:val="24"/>
          <w:lang w:val="en-US"/>
        </w:rPr>
        <w:t>10.5. Feedback and safety promotion</w:t>
      </w:r>
    </w:p>
    <w:p w14:paraId="552D894B"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76" w:name="toc_sec_0030"/>
      <w:bookmarkStart w:id="77" w:name="_Toc241066046"/>
      <w:r w:rsidRPr="009F0D3D">
        <w:rPr>
          <w:rFonts w:ascii="Times New Roman" w:hAnsi="Times New Roman" w:cs="Times New Roman"/>
          <w:sz w:val="24"/>
          <w:szCs w:val="24"/>
          <w:lang w:val="en-US"/>
        </w:rPr>
        <w:t>GM2 145.A.30(e) Personnel requirements</w:t>
      </w:r>
      <w:bookmarkEnd w:id="76"/>
      <w:bookmarkEnd w:id="77"/>
    </w:p>
    <w:p w14:paraId="3E64AF8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COMPETENCY ASSESSMENT ELEMENTS</w:t>
      </w:r>
    </w:p>
    <w:p w14:paraId="37AF261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 example of elements that may be considered during a competency assessment according to the</w:t>
      </w:r>
    </w:p>
    <w:p w14:paraId="555400F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job functions and the scope, size and complexity of the organisation, is given in the following table</w:t>
      </w:r>
    </w:p>
    <w:p w14:paraId="12B6C73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(not exhaustive):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72"/>
        <w:gridCol w:w="605"/>
        <w:gridCol w:w="605"/>
        <w:gridCol w:w="662"/>
        <w:gridCol w:w="864"/>
        <w:gridCol w:w="605"/>
        <w:gridCol w:w="835"/>
        <w:gridCol w:w="792"/>
        <w:gridCol w:w="720"/>
      </w:tblGrid>
      <w:tr w:rsidR="00E52167" w:rsidRPr="00AD3643" w14:paraId="59A9ED25" w14:textId="77777777" w:rsidTr="00440681">
        <w:trPr>
          <w:cantSplit/>
          <w:tblHeader/>
        </w:trPr>
        <w:tc>
          <w:tcPr>
            <w:tcW w:w="3672" w:type="dxa"/>
            <w:vAlign w:val="center"/>
          </w:tcPr>
          <w:p w14:paraId="0904A87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Competency assessment element</w:t>
            </w:r>
          </w:p>
        </w:tc>
        <w:tc>
          <w:tcPr>
            <w:tcW w:w="605" w:type="dxa"/>
            <w:vAlign w:val="center"/>
          </w:tcPr>
          <w:p w14:paraId="12C0059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Managers</w:t>
            </w:r>
          </w:p>
        </w:tc>
        <w:tc>
          <w:tcPr>
            <w:tcW w:w="605" w:type="dxa"/>
            <w:vAlign w:val="center"/>
          </w:tcPr>
          <w:p w14:paraId="6BA377A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Planners</w:t>
            </w:r>
          </w:p>
        </w:tc>
        <w:tc>
          <w:tcPr>
            <w:tcW w:w="662" w:type="dxa"/>
            <w:vAlign w:val="center"/>
          </w:tcPr>
          <w:p w14:paraId="7933116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Supervisors</w:t>
            </w:r>
          </w:p>
        </w:tc>
        <w:tc>
          <w:tcPr>
            <w:tcW w:w="864" w:type="dxa"/>
            <w:vAlign w:val="center"/>
          </w:tcPr>
          <w:p w14:paraId="3730338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b/>
                <w:sz w:val="24"/>
                <w:szCs w:val="24"/>
                <w:lang w:val="en-US"/>
              </w:rPr>
              <w:t>Certifying staff and support staff</w:t>
            </w:r>
          </w:p>
        </w:tc>
        <w:tc>
          <w:tcPr>
            <w:tcW w:w="605" w:type="dxa"/>
            <w:vAlign w:val="center"/>
          </w:tcPr>
          <w:p w14:paraId="4F358D0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Mechanics</w:t>
            </w:r>
          </w:p>
        </w:tc>
        <w:tc>
          <w:tcPr>
            <w:tcW w:w="835" w:type="dxa"/>
            <w:vAlign w:val="center"/>
          </w:tcPr>
          <w:p w14:paraId="5470D86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Specialised service staff</w:t>
            </w:r>
          </w:p>
        </w:tc>
        <w:tc>
          <w:tcPr>
            <w:tcW w:w="792" w:type="dxa"/>
            <w:vAlign w:val="center"/>
          </w:tcPr>
          <w:p w14:paraId="0829E4F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Compliance monitoring staff</w:t>
            </w:r>
          </w:p>
        </w:tc>
        <w:tc>
          <w:tcPr>
            <w:tcW w:w="720" w:type="dxa"/>
            <w:vAlign w:val="center"/>
          </w:tcPr>
          <w:p w14:paraId="4A41CED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Safety management personnel</w:t>
            </w:r>
          </w:p>
        </w:tc>
      </w:tr>
      <w:tr w:rsidR="00E52167" w:rsidRPr="00AD3643" w14:paraId="42616969" w14:textId="77777777" w:rsidTr="00440681">
        <w:trPr>
          <w:cantSplit/>
        </w:trPr>
        <w:tc>
          <w:tcPr>
            <w:tcW w:w="3672" w:type="dxa"/>
            <w:vAlign w:val="center"/>
          </w:tcPr>
          <w:p w14:paraId="66FB7D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applicable officially recognised standards</w:t>
            </w:r>
          </w:p>
        </w:tc>
        <w:tc>
          <w:tcPr>
            <w:tcW w:w="605" w:type="dxa"/>
            <w:vAlign w:val="center"/>
          </w:tcPr>
          <w:p w14:paraId="591442BB"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7950F62B" w14:textId="77777777" w:rsidR="00E52167" w:rsidRPr="00AD3643" w:rsidRDefault="00E52167" w:rsidP="00C95D06">
            <w:pPr>
              <w:spacing w:after="0"/>
              <w:jc w:val="both"/>
              <w:rPr>
                <w:rFonts w:ascii="Times New Roman" w:hAnsi="Times New Roman" w:cs="Times New Roman"/>
                <w:sz w:val="24"/>
                <w:szCs w:val="24"/>
                <w:lang w:val="en-US"/>
              </w:rPr>
            </w:pPr>
          </w:p>
        </w:tc>
        <w:tc>
          <w:tcPr>
            <w:tcW w:w="662" w:type="dxa"/>
            <w:vAlign w:val="center"/>
          </w:tcPr>
          <w:p w14:paraId="3200C197" w14:textId="77777777" w:rsidR="00E52167" w:rsidRPr="00AD3643" w:rsidRDefault="00E52167" w:rsidP="00C95D06">
            <w:pPr>
              <w:spacing w:after="0"/>
              <w:jc w:val="both"/>
              <w:rPr>
                <w:rFonts w:ascii="Times New Roman" w:hAnsi="Times New Roman" w:cs="Times New Roman"/>
                <w:sz w:val="24"/>
                <w:szCs w:val="24"/>
                <w:lang w:val="en-US"/>
              </w:rPr>
            </w:pPr>
          </w:p>
        </w:tc>
        <w:tc>
          <w:tcPr>
            <w:tcW w:w="864" w:type="dxa"/>
            <w:vAlign w:val="center"/>
          </w:tcPr>
          <w:p w14:paraId="620F7BF8"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0713C93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1D1A0617"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0A68570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5FE07E7D"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5F182E3F" w14:textId="77777777" w:rsidTr="00440681">
        <w:trPr>
          <w:cantSplit/>
        </w:trPr>
        <w:tc>
          <w:tcPr>
            <w:tcW w:w="3672" w:type="dxa"/>
            <w:vAlign w:val="center"/>
          </w:tcPr>
          <w:p w14:paraId="2E15BF7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Knowledge of auditing techniques: planning, conducting and reporting</w:t>
            </w:r>
          </w:p>
        </w:tc>
        <w:tc>
          <w:tcPr>
            <w:tcW w:w="605" w:type="dxa"/>
            <w:vAlign w:val="center"/>
          </w:tcPr>
          <w:p w14:paraId="135F9F76"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56753A2C" w14:textId="77777777" w:rsidR="00E52167" w:rsidRPr="00AD3643" w:rsidRDefault="00E52167" w:rsidP="00C95D06">
            <w:pPr>
              <w:spacing w:after="0"/>
              <w:jc w:val="both"/>
              <w:rPr>
                <w:rFonts w:ascii="Times New Roman" w:hAnsi="Times New Roman" w:cs="Times New Roman"/>
                <w:sz w:val="24"/>
                <w:szCs w:val="24"/>
                <w:lang w:val="en-US"/>
              </w:rPr>
            </w:pPr>
          </w:p>
        </w:tc>
        <w:tc>
          <w:tcPr>
            <w:tcW w:w="662" w:type="dxa"/>
            <w:vAlign w:val="center"/>
          </w:tcPr>
          <w:p w14:paraId="6A458EB0" w14:textId="77777777" w:rsidR="00E52167" w:rsidRPr="00AD3643" w:rsidRDefault="00E52167" w:rsidP="00C95D06">
            <w:pPr>
              <w:spacing w:after="0"/>
              <w:jc w:val="both"/>
              <w:rPr>
                <w:rFonts w:ascii="Times New Roman" w:hAnsi="Times New Roman" w:cs="Times New Roman"/>
                <w:sz w:val="24"/>
                <w:szCs w:val="24"/>
                <w:lang w:val="en-US"/>
              </w:rPr>
            </w:pPr>
          </w:p>
        </w:tc>
        <w:tc>
          <w:tcPr>
            <w:tcW w:w="864" w:type="dxa"/>
            <w:vAlign w:val="center"/>
          </w:tcPr>
          <w:p w14:paraId="097FD493"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080ACEB1" w14:textId="77777777" w:rsidR="00E52167" w:rsidRPr="00AD3643" w:rsidRDefault="00E52167" w:rsidP="00C95D06">
            <w:pPr>
              <w:spacing w:after="0"/>
              <w:jc w:val="both"/>
              <w:rPr>
                <w:rFonts w:ascii="Times New Roman" w:hAnsi="Times New Roman" w:cs="Times New Roman"/>
                <w:sz w:val="24"/>
                <w:szCs w:val="24"/>
                <w:lang w:val="en-US"/>
              </w:rPr>
            </w:pPr>
          </w:p>
        </w:tc>
        <w:tc>
          <w:tcPr>
            <w:tcW w:w="835" w:type="dxa"/>
            <w:vAlign w:val="center"/>
          </w:tcPr>
          <w:p w14:paraId="21A81420" w14:textId="77777777" w:rsidR="00E52167" w:rsidRPr="00AD3643" w:rsidRDefault="00E52167" w:rsidP="00C95D06">
            <w:pPr>
              <w:spacing w:after="0"/>
              <w:jc w:val="both"/>
              <w:rPr>
                <w:rFonts w:ascii="Times New Roman" w:hAnsi="Times New Roman" w:cs="Times New Roman"/>
                <w:sz w:val="24"/>
                <w:szCs w:val="24"/>
                <w:lang w:val="en-US"/>
              </w:rPr>
            </w:pPr>
          </w:p>
        </w:tc>
        <w:tc>
          <w:tcPr>
            <w:tcW w:w="792" w:type="dxa"/>
            <w:vAlign w:val="center"/>
          </w:tcPr>
          <w:p w14:paraId="4818CF7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7ADBD8C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7DD1EB8F" w14:textId="77777777" w:rsidTr="00440681">
        <w:trPr>
          <w:cantSplit/>
        </w:trPr>
        <w:tc>
          <w:tcPr>
            <w:tcW w:w="3672" w:type="dxa"/>
            <w:vAlign w:val="center"/>
          </w:tcPr>
          <w:p w14:paraId="3DB30CB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safety management, human factors, human performance and limitations, and just culture</w:t>
            </w:r>
          </w:p>
        </w:tc>
        <w:tc>
          <w:tcPr>
            <w:tcW w:w="605" w:type="dxa"/>
            <w:vAlign w:val="center"/>
          </w:tcPr>
          <w:p w14:paraId="18FB9C8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07B19F6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443DAFA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D89579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68F20A3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287F532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37A4B65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44F4C90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4395232F" w14:textId="77777777" w:rsidTr="00440681">
        <w:trPr>
          <w:cantSplit/>
        </w:trPr>
        <w:tc>
          <w:tcPr>
            <w:tcW w:w="3672" w:type="dxa"/>
            <w:vAlign w:val="center"/>
          </w:tcPr>
          <w:p w14:paraId="7946C61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Knowledge of logistics processes</w:t>
            </w:r>
          </w:p>
        </w:tc>
        <w:tc>
          <w:tcPr>
            <w:tcW w:w="605" w:type="dxa"/>
            <w:vAlign w:val="center"/>
          </w:tcPr>
          <w:p w14:paraId="2B2AEF1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292269B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283E8C1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29021F3" w14:textId="77777777" w:rsidR="00E52167" w:rsidRPr="00AD3643" w:rsidRDefault="00E52167" w:rsidP="00C95D06">
            <w:pPr>
              <w:spacing w:after="0"/>
              <w:jc w:val="both"/>
              <w:rPr>
                <w:rFonts w:ascii="Times New Roman" w:hAnsi="Times New Roman" w:cs="Times New Roman"/>
                <w:sz w:val="24"/>
                <w:szCs w:val="24"/>
              </w:rPr>
            </w:pPr>
          </w:p>
        </w:tc>
        <w:tc>
          <w:tcPr>
            <w:tcW w:w="605" w:type="dxa"/>
            <w:vAlign w:val="center"/>
          </w:tcPr>
          <w:p w14:paraId="6E731C79"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51184CD0"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2C47A5E6"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53B43654"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39A3AF2A" w14:textId="77777777" w:rsidTr="00440681">
        <w:trPr>
          <w:cantSplit/>
        </w:trPr>
        <w:tc>
          <w:tcPr>
            <w:tcW w:w="3672" w:type="dxa"/>
            <w:vAlign w:val="center"/>
          </w:tcPr>
          <w:p w14:paraId="4B73A6C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organisation capabilities, privileges and limitations</w:t>
            </w:r>
          </w:p>
        </w:tc>
        <w:tc>
          <w:tcPr>
            <w:tcW w:w="605" w:type="dxa"/>
            <w:vAlign w:val="center"/>
          </w:tcPr>
          <w:p w14:paraId="2ED1FEE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92DB3B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7955849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60CBBB3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02DB0A13"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281E387F"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2A6A1F7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4445824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5D4592D6" w14:textId="77777777" w:rsidTr="00440681">
        <w:trPr>
          <w:cantSplit/>
        </w:trPr>
        <w:tc>
          <w:tcPr>
            <w:tcW w:w="3672" w:type="dxa"/>
            <w:vAlign w:val="center"/>
          </w:tcPr>
          <w:p w14:paraId="5783C22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Part-M, Part-ML, Part-145 and any other relevant regulations</w:t>
            </w:r>
          </w:p>
        </w:tc>
        <w:tc>
          <w:tcPr>
            <w:tcW w:w="605" w:type="dxa"/>
            <w:vAlign w:val="center"/>
          </w:tcPr>
          <w:p w14:paraId="74BB976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BACFAD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1620575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71C3456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6B4B2F80"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3E6A37AA"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0BE6397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1A3779B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064D8CA6" w14:textId="77777777" w:rsidTr="00440681">
        <w:trPr>
          <w:cantSplit/>
        </w:trPr>
        <w:tc>
          <w:tcPr>
            <w:tcW w:w="3672" w:type="dxa"/>
            <w:vAlign w:val="center"/>
          </w:tcPr>
          <w:p w14:paraId="511EF36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relevant parts of the maintenance organisation exposition and procedures</w:t>
            </w:r>
          </w:p>
        </w:tc>
        <w:tc>
          <w:tcPr>
            <w:tcW w:w="605" w:type="dxa"/>
            <w:vAlign w:val="center"/>
          </w:tcPr>
          <w:p w14:paraId="2B6CCA8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07A3610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21CE59A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4515AA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00F27A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20714F5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35FCB6D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3AFFE6F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59272D32" w14:textId="77777777" w:rsidTr="00440681">
        <w:trPr>
          <w:cantSplit/>
        </w:trPr>
        <w:tc>
          <w:tcPr>
            <w:tcW w:w="3672" w:type="dxa"/>
            <w:vAlign w:val="center"/>
          </w:tcPr>
          <w:p w14:paraId="68195EC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occurrence reporting, internal reporting scheme and importance of reporting</w:t>
            </w:r>
          </w:p>
        </w:tc>
        <w:tc>
          <w:tcPr>
            <w:tcW w:w="605" w:type="dxa"/>
            <w:vAlign w:val="center"/>
          </w:tcPr>
          <w:p w14:paraId="30559AB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F1C13B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532D8C7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1573103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7A41FD6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50A30FB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1A9EBB6C"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5688CCD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5229DF7E" w14:textId="77777777" w:rsidTr="00440681">
        <w:trPr>
          <w:cantSplit/>
        </w:trPr>
        <w:tc>
          <w:tcPr>
            <w:tcW w:w="3672" w:type="dxa"/>
            <w:vAlign w:val="center"/>
          </w:tcPr>
          <w:p w14:paraId="4EFDAFE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safety risks linked to the working environment</w:t>
            </w:r>
          </w:p>
        </w:tc>
        <w:tc>
          <w:tcPr>
            <w:tcW w:w="605" w:type="dxa"/>
            <w:vAlign w:val="center"/>
          </w:tcPr>
          <w:p w14:paraId="755126F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5510F4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51C4C5B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4E258B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7A72771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14507F6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6F358E6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74A3FCE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5C7C4110" w14:textId="77777777" w:rsidTr="00440681">
        <w:trPr>
          <w:cantSplit/>
        </w:trPr>
        <w:tc>
          <w:tcPr>
            <w:tcW w:w="3672" w:type="dxa"/>
            <w:vAlign w:val="center"/>
          </w:tcPr>
          <w:p w14:paraId="2B6FB9D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CDCCL when relevant</w:t>
            </w:r>
          </w:p>
        </w:tc>
        <w:tc>
          <w:tcPr>
            <w:tcW w:w="605" w:type="dxa"/>
            <w:vAlign w:val="center"/>
          </w:tcPr>
          <w:p w14:paraId="783866F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26D3A62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20998FC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3E2D202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6436683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16497BE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1C22DF9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00E7ED0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40904B80" w14:textId="77777777" w:rsidTr="00440681">
        <w:trPr>
          <w:cantSplit/>
        </w:trPr>
        <w:tc>
          <w:tcPr>
            <w:tcW w:w="3672" w:type="dxa"/>
            <w:vAlign w:val="center"/>
          </w:tcPr>
          <w:p w14:paraId="25D8ECC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Knowledge of EWIS when relevant</w:t>
            </w:r>
          </w:p>
        </w:tc>
        <w:tc>
          <w:tcPr>
            <w:tcW w:w="605" w:type="dxa"/>
            <w:vAlign w:val="center"/>
          </w:tcPr>
          <w:p w14:paraId="0DFFD40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2A74D1B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5E9DA7B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6138736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DAFC7F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6B96A27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0CE2E23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770CC93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234ECCCF" w14:textId="77777777" w:rsidTr="00440681">
        <w:trPr>
          <w:cantSplit/>
        </w:trPr>
        <w:tc>
          <w:tcPr>
            <w:tcW w:w="3672" w:type="dxa"/>
            <w:vAlign w:val="center"/>
          </w:tcPr>
          <w:p w14:paraId="7AAD458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Understanding of professional integrity, behaviour and attitude towards safety</w:t>
            </w:r>
          </w:p>
        </w:tc>
        <w:tc>
          <w:tcPr>
            <w:tcW w:w="605" w:type="dxa"/>
            <w:vAlign w:val="center"/>
          </w:tcPr>
          <w:p w14:paraId="6451A96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2BDBDDF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2CDED32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7B5830A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014F3F3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58385AC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04FF303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4CE90AC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0552842F" w14:textId="77777777" w:rsidTr="00440681">
        <w:trPr>
          <w:cantSplit/>
        </w:trPr>
        <w:tc>
          <w:tcPr>
            <w:tcW w:w="3672" w:type="dxa"/>
            <w:vAlign w:val="center"/>
          </w:tcPr>
          <w:p w14:paraId="2113DF3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Understanding of conditions for ensuring continuing airworthiness of aircraft and components</w:t>
            </w:r>
          </w:p>
        </w:tc>
        <w:tc>
          <w:tcPr>
            <w:tcW w:w="605" w:type="dxa"/>
            <w:vAlign w:val="center"/>
          </w:tcPr>
          <w:p w14:paraId="1268104A"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3D45944A" w14:textId="77777777" w:rsidR="00E52167" w:rsidRPr="00AD3643" w:rsidRDefault="00E52167" w:rsidP="00C95D06">
            <w:pPr>
              <w:spacing w:after="0"/>
              <w:jc w:val="both"/>
              <w:rPr>
                <w:rFonts w:ascii="Times New Roman" w:hAnsi="Times New Roman" w:cs="Times New Roman"/>
                <w:sz w:val="24"/>
                <w:szCs w:val="24"/>
                <w:lang w:val="en-US"/>
              </w:rPr>
            </w:pPr>
          </w:p>
        </w:tc>
        <w:tc>
          <w:tcPr>
            <w:tcW w:w="662" w:type="dxa"/>
            <w:vAlign w:val="center"/>
          </w:tcPr>
          <w:p w14:paraId="3156B792" w14:textId="77777777" w:rsidR="00E52167" w:rsidRPr="00AD3643" w:rsidRDefault="00E52167" w:rsidP="00C95D06">
            <w:pPr>
              <w:spacing w:after="0"/>
              <w:jc w:val="both"/>
              <w:rPr>
                <w:rFonts w:ascii="Times New Roman" w:hAnsi="Times New Roman" w:cs="Times New Roman"/>
                <w:sz w:val="24"/>
                <w:szCs w:val="24"/>
                <w:lang w:val="en-US"/>
              </w:rPr>
            </w:pPr>
          </w:p>
        </w:tc>
        <w:tc>
          <w:tcPr>
            <w:tcW w:w="864" w:type="dxa"/>
            <w:vAlign w:val="center"/>
          </w:tcPr>
          <w:p w14:paraId="66CD29F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67CFBEF9"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27DE32EC"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125440C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45450EB8"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1E74D5AF" w14:textId="77777777" w:rsidTr="00440681">
        <w:trPr>
          <w:cantSplit/>
        </w:trPr>
        <w:tc>
          <w:tcPr>
            <w:tcW w:w="3672" w:type="dxa"/>
            <w:vAlign w:val="center"/>
          </w:tcPr>
          <w:p w14:paraId="49A5C2A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Understanding of own human performance and limitations</w:t>
            </w:r>
          </w:p>
        </w:tc>
        <w:tc>
          <w:tcPr>
            <w:tcW w:w="605" w:type="dxa"/>
            <w:vAlign w:val="center"/>
          </w:tcPr>
          <w:p w14:paraId="7729A11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1315C51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45363BF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4CA6AF2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3199FE6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7BC2693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6C4B907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29F105B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6CAA8F95" w14:textId="77777777" w:rsidTr="00440681">
        <w:trPr>
          <w:cantSplit/>
        </w:trPr>
        <w:tc>
          <w:tcPr>
            <w:tcW w:w="3672" w:type="dxa"/>
            <w:vAlign w:val="center"/>
          </w:tcPr>
          <w:p w14:paraId="033667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Understanding of personnel authorisations and limitations</w:t>
            </w:r>
          </w:p>
        </w:tc>
        <w:tc>
          <w:tcPr>
            <w:tcW w:w="605" w:type="dxa"/>
            <w:vAlign w:val="center"/>
          </w:tcPr>
          <w:p w14:paraId="59370E0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30224E9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2F2D766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7E244A2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13E646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619DDAB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7FDD8E6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71ABF388"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2489190B" w14:textId="77777777" w:rsidTr="00440681">
        <w:trPr>
          <w:cantSplit/>
        </w:trPr>
        <w:tc>
          <w:tcPr>
            <w:tcW w:w="3672" w:type="dxa"/>
            <w:vAlign w:val="center"/>
          </w:tcPr>
          <w:p w14:paraId="6653259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lastRenderedPageBreak/>
              <w:t>Understanding critical maintenance tasks</w:t>
            </w:r>
          </w:p>
        </w:tc>
        <w:tc>
          <w:tcPr>
            <w:tcW w:w="605" w:type="dxa"/>
            <w:vAlign w:val="center"/>
          </w:tcPr>
          <w:p w14:paraId="1ED6D3D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32890CA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4EB876E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15B67A4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147CA62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0CFF8CF3"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42CF0B2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1BEB14C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5271E423" w14:textId="77777777" w:rsidTr="00440681">
        <w:trPr>
          <w:cantSplit/>
        </w:trPr>
        <w:tc>
          <w:tcPr>
            <w:tcW w:w="3672" w:type="dxa"/>
            <w:vAlign w:val="center"/>
          </w:tcPr>
          <w:p w14:paraId="3A92936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compile and control completed work cards</w:t>
            </w:r>
          </w:p>
        </w:tc>
        <w:tc>
          <w:tcPr>
            <w:tcW w:w="605" w:type="dxa"/>
            <w:vAlign w:val="center"/>
          </w:tcPr>
          <w:p w14:paraId="242E09E0"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153D8AF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75095FE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3B1EF6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C39EFE6"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35B52E36"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02BA976D"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4B4FE0DA"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4E8E3A72" w14:textId="77777777" w:rsidTr="00440681">
        <w:trPr>
          <w:cantSplit/>
        </w:trPr>
        <w:tc>
          <w:tcPr>
            <w:tcW w:w="3672" w:type="dxa"/>
            <w:vAlign w:val="center"/>
          </w:tcPr>
          <w:p w14:paraId="7649F47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consider human performance and limitations</w:t>
            </w:r>
          </w:p>
        </w:tc>
        <w:tc>
          <w:tcPr>
            <w:tcW w:w="605" w:type="dxa"/>
            <w:vAlign w:val="center"/>
          </w:tcPr>
          <w:p w14:paraId="0E35878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369DF6C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6510FFD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5834BDB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7A5FF08C"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4D9C127C"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777E00F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37F8602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50648955" w14:textId="77777777" w:rsidTr="00440681">
        <w:trPr>
          <w:cantSplit/>
        </w:trPr>
        <w:tc>
          <w:tcPr>
            <w:tcW w:w="3672" w:type="dxa"/>
            <w:vAlign w:val="center"/>
          </w:tcPr>
          <w:p w14:paraId="416505A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determine required qualifications for task performance</w:t>
            </w:r>
          </w:p>
        </w:tc>
        <w:tc>
          <w:tcPr>
            <w:tcW w:w="605" w:type="dxa"/>
            <w:vAlign w:val="center"/>
          </w:tcPr>
          <w:p w14:paraId="5B9784A7"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5EC8ED7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5D4A85D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EFD1E8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1F8945AA"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704240B4"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38B93134"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33A15C73"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7009CE61" w14:textId="77777777" w:rsidTr="00440681">
        <w:trPr>
          <w:cantSplit/>
        </w:trPr>
        <w:tc>
          <w:tcPr>
            <w:tcW w:w="3672" w:type="dxa"/>
            <w:vAlign w:val="center"/>
          </w:tcPr>
          <w:p w14:paraId="3BF56EC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identify and rectify existing and potential unsafe conditions</w:t>
            </w:r>
          </w:p>
        </w:tc>
        <w:tc>
          <w:tcPr>
            <w:tcW w:w="605" w:type="dxa"/>
            <w:vAlign w:val="center"/>
          </w:tcPr>
          <w:p w14:paraId="51A692A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7E557891" w14:textId="77777777" w:rsidR="00E52167" w:rsidRPr="00AD3643" w:rsidRDefault="00E52167" w:rsidP="00C95D06">
            <w:pPr>
              <w:spacing w:after="0"/>
              <w:jc w:val="both"/>
              <w:rPr>
                <w:rFonts w:ascii="Times New Roman" w:hAnsi="Times New Roman" w:cs="Times New Roman"/>
                <w:sz w:val="24"/>
                <w:szCs w:val="24"/>
              </w:rPr>
            </w:pPr>
          </w:p>
        </w:tc>
        <w:tc>
          <w:tcPr>
            <w:tcW w:w="662" w:type="dxa"/>
            <w:vAlign w:val="center"/>
          </w:tcPr>
          <w:p w14:paraId="2FFF59B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7220E7C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7369205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2309F86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508A6E3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69B2162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5473A5BE" w14:textId="77777777" w:rsidTr="00440681">
        <w:trPr>
          <w:cantSplit/>
        </w:trPr>
        <w:tc>
          <w:tcPr>
            <w:tcW w:w="3672" w:type="dxa"/>
            <w:vAlign w:val="center"/>
          </w:tcPr>
          <w:p w14:paraId="433F601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manage third parties involved in maintenance activity</w:t>
            </w:r>
          </w:p>
        </w:tc>
        <w:tc>
          <w:tcPr>
            <w:tcW w:w="605" w:type="dxa"/>
            <w:vAlign w:val="center"/>
          </w:tcPr>
          <w:p w14:paraId="7157228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36D5A29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3CCC32C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0C50305" w14:textId="77777777" w:rsidR="00E52167" w:rsidRPr="00AD3643" w:rsidRDefault="00E52167" w:rsidP="00C95D06">
            <w:pPr>
              <w:spacing w:after="0"/>
              <w:jc w:val="both"/>
              <w:rPr>
                <w:rFonts w:ascii="Times New Roman" w:hAnsi="Times New Roman" w:cs="Times New Roman"/>
                <w:sz w:val="24"/>
                <w:szCs w:val="24"/>
              </w:rPr>
            </w:pPr>
          </w:p>
        </w:tc>
        <w:tc>
          <w:tcPr>
            <w:tcW w:w="605" w:type="dxa"/>
            <w:vAlign w:val="center"/>
          </w:tcPr>
          <w:p w14:paraId="21117A8F"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36978C14"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6EE5AF38"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7C7FF8AB"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5DA88A61" w14:textId="77777777" w:rsidTr="00440681">
        <w:trPr>
          <w:cantSplit/>
        </w:trPr>
        <w:tc>
          <w:tcPr>
            <w:tcW w:w="3672" w:type="dxa"/>
            <w:vAlign w:val="center"/>
          </w:tcPr>
          <w:p w14:paraId="73AA39F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confirm proper accomplishment of maintenance tasks</w:t>
            </w:r>
          </w:p>
        </w:tc>
        <w:tc>
          <w:tcPr>
            <w:tcW w:w="605" w:type="dxa"/>
            <w:vAlign w:val="center"/>
          </w:tcPr>
          <w:p w14:paraId="647ED807"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713264F9" w14:textId="77777777" w:rsidR="00E52167" w:rsidRPr="00AD3643" w:rsidRDefault="00E52167" w:rsidP="00C95D06">
            <w:pPr>
              <w:spacing w:after="0"/>
              <w:jc w:val="both"/>
              <w:rPr>
                <w:rFonts w:ascii="Times New Roman" w:hAnsi="Times New Roman" w:cs="Times New Roman"/>
                <w:sz w:val="24"/>
                <w:szCs w:val="24"/>
                <w:lang w:val="en-US"/>
              </w:rPr>
            </w:pPr>
          </w:p>
        </w:tc>
        <w:tc>
          <w:tcPr>
            <w:tcW w:w="662" w:type="dxa"/>
            <w:vAlign w:val="center"/>
          </w:tcPr>
          <w:p w14:paraId="35589BE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2361685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6AECF51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1F83A6F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18A8EDFB"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23BE7C05"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12CB26A9" w14:textId="77777777" w:rsidTr="00440681">
        <w:trPr>
          <w:cantSplit/>
        </w:trPr>
        <w:tc>
          <w:tcPr>
            <w:tcW w:w="3672" w:type="dxa"/>
            <w:vAlign w:val="center"/>
          </w:tcPr>
          <w:p w14:paraId="25D19E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identify and properly plan performance of critical maintenance tasks</w:t>
            </w:r>
          </w:p>
        </w:tc>
        <w:tc>
          <w:tcPr>
            <w:tcW w:w="605" w:type="dxa"/>
            <w:vAlign w:val="center"/>
          </w:tcPr>
          <w:p w14:paraId="75C51593"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24D9AE1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4DF7EA8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3AED8F9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6AA7D6E"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159ABC2E"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6C31F4AB"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53843AA8"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382874A3" w14:textId="77777777" w:rsidTr="00440681">
        <w:trPr>
          <w:cantSplit/>
        </w:trPr>
        <w:tc>
          <w:tcPr>
            <w:tcW w:w="3672" w:type="dxa"/>
            <w:vAlign w:val="center"/>
          </w:tcPr>
          <w:p w14:paraId="1696DCE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prioritise tasks and report discrepancies</w:t>
            </w:r>
          </w:p>
        </w:tc>
        <w:tc>
          <w:tcPr>
            <w:tcW w:w="605" w:type="dxa"/>
            <w:vAlign w:val="center"/>
          </w:tcPr>
          <w:p w14:paraId="34A4D2D9"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3239954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662021A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79B7D63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1CA2C27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2B0A52A0"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46109B57"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062442EF"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36DCC50C" w14:textId="77777777" w:rsidTr="00440681">
        <w:trPr>
          <w:cantSplit/>
        </w:trPr>
        <w:tc>
          <w:tcPr>
            <w:tcW w:w="3672" w:type="dxa"/>
            <w:vAlign w:val="center"/>
          </w:tcPr>
          <w:p w14:paraId="030F525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process the work requested by the operator</w:t>
            </w:r>
          </w:p>
        </w:tc>
        <w:tc>
          <w:tcPr>
            <w:tcW w:w="605" w:type="dxa"/>
            <w:vAlign w:val="center"/>
          </w:tcPr>
          <w:p w14:paraId="7DD6346F"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1DA670F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1547F6F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4DA2FA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1631646"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115A57E5"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51EAA536"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31D0EB39"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29F05762" w14:textId="77777777" w:rsidTr="00440681">
        <w:trPr>
          <w:cantSplit/>
        </w:trPr>
        <w:tc>
          <w:tcPr>
            <w:tcW w:w="3672" w:type="dxa"/>
            <w:vAlign w:val="center"/>
          </w:tcPr>
          <w:p w14:paraId="4E8020F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promote the safety policy</w:t>
            </w:r>
          </w:p>
        </w:tc>
        <w:tc>
          <w:tcPr>
            <w:tcW w:w="605" w:type="dxa"/>
            <w:vAlign w:val="center"/>
          </w:tcPr>
          <w:p w14:paraId="247CB79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F9CB163" w14:textId="77777777" w:rsidR="00E52167" w:rsidRPr="00AD3643" w:rsidRDefault="00E52167" w:rsidP="00C95D06">
            <w:pPr>
              <w:spacing w:after="0"/>
              <w:jc w:val="both"/>
              <w:rPr>
                <w:rFonts w:ascii="Times New Roman" w:hAnsi="Times New Roman" w:cs="Times New Roman"/>
                <w:sz w:val="24"/>
                <w:szCs w:val="24"/>
              </w:rPr>
            </w:pPr>
          </w:p>
        </w:tc>
        <w:tc>
          <w:tcPr>
            <w:tcW w:w="662" w:type="dxa"/>
            <w:vAlign w:val="center"/>
          </w:tcPr>
          <w:p w14:paraId="194E1B6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647D07BE" w14:textId="77777777" w:rsidR="00E52167" w:rsidRPr="00AD3643" w:rsidRDefault="00E52167" w:rsidP="00C95D06">
            <w:pPr>
              <w:spacing w:after="0"/>
              <w:jc w:val="both"/>
              <w:rPr>
                <w:rFonts w:ascii="Times New Roman" w:hAnsi="Times New Roman" w:cs="Times New Roman"/>
                <w:sz w:val="24"/>
                <w:szCs w:val="24"/>
              </w:rPr>
            </w:pPr>
          </w:p>
        </w:tc>
        <w:tc>
          <w:tcPr>
            <w:tcW w:w="605" w:type="dxa"/>
            <w:vAlign w:val="center"/>
          </w:tcPr>
          <w:p w14:paraId="2B9EE402"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099DEE5B"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0ACDD36E"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1534E98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6C8131A4" w14:textId="77777777" w:rsidTr="00440681">
        <w:trPr>
          <w:cantSplit/>
        </w:trPr>
        <w:tc>
          <w:tcPr>
            <w:tcW w:w="3672" w:type="dxa"/>
            <w:vAlign w:val="center"/>
          </w:tcPr>
          <w:p w14:paraId="045514E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properly process removed, uninstalled and rejected parts</w:t>
            </w:r>
          </w:p>
        </w:tc>
        <w:tc>
          <w:tcPr>
            <w:tcW w:w="605" w:type="dxa"/>
            <w:vAlign w:val="center"/>
          </w:tcPr>
          <w:p w14:paraId="4F10CF7E"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52F4F73A" w14:textId="77777777" w:rsidR="00E52167" w:rsidRPr="00AD3643" w:rsidRDefault="00E52167" w:rsidP="00C95D06">
            <w:pPr>
              <w:spacing w:after="0"/>
              <w:jc w:val="both"/>
              <w:rPr>
                <w:rFonts w:ascii="Times New Roman" w:hAnsi="Times New Roman" w:cs="Times New Roman"/>
                <w:sz w:val="24"/>
                <w:szCs w:val="24"/>
                <w:lang w:val="en-US"/>
              </w:rPr>
            </w:pPr>
          </w:p>
        </w:tc>
        <w:tc>
          <w:tcPr>
            <w:tcW w:w="662" w:type="dxa"/>
            <w:vAlign w:val="center"/>
          </w:tcPr>
          <w:p w14:paraId="1ABD5FD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6E12609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20F93F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3AAD076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1B011677"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13C7A13C"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7C822290" w14:textId="77777777" w:rsidTr="00440681">
        <w:trPr>
          <w:cantSplit/>
        </w:trPr>
        <w:tc>
          <w:tcPr>
            <w:tcW w:w="3672" w:type="dxa"/>
            <w:vAlign w:val="center"/>
          </w:tcPr>
          <w:p w14:paraId="335A5F4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properly record and sign for work accomplished</w:t>
            </w:r>
          </w:p>
        </w:tc>
        <w:tc>
          <w:tcPr>
            <w:tcW w:w="605" w:type="dxa"/>
            <w:vAlign w:val="center"/>
          </w:tcPr>
          <w:p w14:paraId="2D062CFE"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60F8CBF6" w14:textId="77777777" w:rsidR="00E52167" w:rsidRPr="00AD3643" w:rsidRDefault="00E52167" w:rsidP="00C95D06">
            <w:pPr>
              <w:spacing w:after="0"/>
              <w:jc w:val="both"/>
              <w:rPr>
                <w:rFonts w:ascii="Times New Roman" w:hAnsi="Times New Roman" w:cs="Times New Roman"/>
                <w:sz w:val="24"/>
                <w:szCs w:val="24"/>
                <w:lang w:val="en-US"/>
              </w:rPr>
            </w:pPr>
          </w:p>
        </w:tc>
        <w:tc>
          <w:tcPr>
            <w:tcW w:w="662" w:type="dxa"/>
            <w:vAlign w:val="center"/>
          </w:tcPr>
          <w:p w14:paraId="43B5855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25C946C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35AE0B6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70F83B9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7E131380"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3CE01B3F"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3A894CB9" w14:textId="77777777" w:rsidTr="00440681">
        <w:trPr>
          <w:cantSplit/>
        </w:trPr>
        <w:tc>
          <w:tcPr>
            <w:tcW w:w="3672" w:type="dxa"/>
            <w:vAlign w:val="center"/>
          </w:tcPr>
          <w:p w14:paraId="2774F6F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recognise acceptability of parts before fitment</w:t>
            </w:r>
          </w:p>
        </w:tc>
        <w:tc>
          <w:tcPr>
            <w:tcW w:w="605" w:type="dxa"/>
            <w:vAlign w:val="center"/>
          </w:tcPr>
          <w:p w14:paraId="4D33E103"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5A4C0428" w14:textId="77777777" w:rsidR="00E52167" w:rsidRPr="00AD3643" w:rsidRDefault="00E52167" w:rsidP="00C95D06">
            <w:pPr>
              <w:spacing w:after="0"/>
              <w:jc w:val="both"/>
              <w:rPr>
                <w:rFonts w:ascii="Times New Roman" w:hAnsi="Times New Roman" w:cs="Times New Roman"/>
                <w:sz w:val="24"/>
                <w:szCs w:val="24"/>
                <w:lang w:val="en-US"/>
              </w:rPr>
            </w:pPr>
          </w:p>
        </w:tc>
        <w:tc>
          <w:tcPr>
            <w:tcW w:w="662" w:type="dxa"/>
            <w:vAlign w:val="center"/>
          </w:tcPr>
          <w:p w14:paraId="31486B1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4241352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AA13DA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76C6649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340DCE8C"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10B994AC"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45F3F139" w14:textId="77777777" w:rsidTr="00440681">
        <w:trPr>
          <w:cantSplit/>
        </w:trPr>
        <w:tc>
          <w:tcPr>
            <w:tcW w:w="3672" w:type="dxa"/>
            <w:vAlign w:val="center"/>
          </w:tcPr>
          <w:p w14:paraId="40511E9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split complex maintenance tasks into clear stages</w:t>
            </w:r>
          </w:p>
        </w:tc>
        <w:tc>
          <w:tcPr>
            <w:tcW w:w="605" w:type="dxa"/>
            <w:vAlign w:val="center"/>
          </w:tcPr>
          <w:p w14:paraId="030E4D7D"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56BF595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05D39A3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21D08D52" w14:textId="77777777" w:rsidR="00E52167" w:rsidRPr="00AD3643" w:rsidRDefault="00E52167" w:rsidP="00C95D06">
            <w:pPr>
              <w:spacing w:after="0"/>
              <w:jc w:val="both"/>
              <w:rPr>
                <w:rFonts w:ascii="Times New Roman" w:hAnsi="Times New Roman" w:cs="Times New Roman"/>
                <w:sz w:val="24"/>
                <w:szCs w:val="24"/>
              </w:rPr>
            </w:pPr>
          </w:p>
        </w:tc>
        <w:tc>
          <w:tcPr>
            <w:tcW w:w="605" w:type="dxa"/>
            <w:vAlign w:val="center"/>
          </w:tcPr>
          <w:p w14:paraId="58CA4BFE"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63D23ADE"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1329508F"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330445BB"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7C2A9464" w14:textId="77777777" w:rsidTr="00440681">
        <w:trPr>
          <w:cantSplit/>
        </w:trPr>
        <w:tc>
          <w:tcPr>
            <w:tcW w:w="3672" w:type="dxa"/>
            <w:vAlign w:val="center"/>
          </w:tcPr>
          <w:p w14:paraId="3A79ECD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Ability to understand work orders, work cards and use applicable maintenance data</w:t>
            </w:r>
          </w:p>
        </w:tc>
        <w:tc>
          <w:tcPr>
            <w:tcW w:w="605" w:type="dxa"/>
            <w:vAlign w:val="center"/>
          </w:tcPr>
          <w:p w14:paraId="727F41AD"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170780B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15E096B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6402957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22DC04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4036B59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0DE1527A"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1825C606"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4E28524C" w14:textId="77777777" w:rsidTr="00440681">
        <w:trPr>
          <w:cantSplit/>
        </w:trPr>
        <w:tc>
          <w:tcPr>
            <w:tcW w:w="3672" w:type="dxa"/>
            <w:vAlign w:val="center"/>
          </w:tcPr>
          <w:p w14:paraId="088BB3B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use information systems</w:t>
            </w:r>
          </w:p>
        </w:tc>
        <w:tc>
          <w:tcPr>
            <w:tcW w:w="605" w:type="dxa"/>
            <w:vAlign w:val="center"/>
          </w:tcPr>
          <w:p w14:paraId="727A693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D22645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0B70ABB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7C79195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CCF35B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444B9B9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239CFD5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58AF0A3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36CE36D6" w14:textId="77777777" w:rsidTr="00440681">
        <w:trPr>
          <w:cantSplit/>
        </w:trPr>
        <w:tc>
          <w:tcPr>
            <w:tcW w:w="3672" w:type="dxa"/>
            <w:vAlign w:val="center"/>
          </w:tcPr>
          <w:p w14:paraId="7BEA17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use, control and be familiar with required tooling/equipment</w:t>
            </w:r>
          </w:p>
        </w:tc>
        <w:tc>
          <w:tcPr>
            <w:tcW w:w="605" w:type="dxa"/>
            <w:vAlign w:val="center"/>
          </w:tcPr>
          <w:p w14:paraId="5E9F3C41"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1DD7795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6E56850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083B0F0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5CBC482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3E28B40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3A8EF1F8"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18E57BE1"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5A5510BD" w14:textId="77777777" w:rsidTr="00440681">
        <w:trPr>
          <w:cantSplit/>
        </w:trPr>
        <w:tc>
          <w:tcPr>
            <w:tcW w:w="3672" w:type="dxa"/>
            <w:vAlign w:val="center"/>
          </w:tcPr>
          <w:p w14:paraId="201A904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Adequate communication and literacy skills</w:t>
            </w:r>
          </w:p>
        </w:tc>
        <w:tc>
          <w:tcPr>
            <w:tcW w:w="605" w:type="dxa"/>
            <w:vAlign w:val="center"/>
          </w:tcPr>
          <w:p w14:paraId="361CBF4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07E3642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3985358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4664742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16CA029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35" w:type="dxa"/>
            <w:vAlign w:val="center"/>
          </w:tcPr>
          <w:p w14:paraId="5ED3558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92" w:type="dxa"/>
            <w:vAlign w:val="center"/>
          </w:tcPr>
          <w:p w14:paraId="6C858FC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5AE9E72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2D7EBB29" w14:textId="77777777" w:rsidTr="00440681">
        <w:trPr>
          <w:cantSplit/>
        </w:trPr>
        <w:tc>
          <w:tcPr>
            <w:tcW w:w="3672" w:type="dxa"/>
            <w:vAlign w:val="center"/>
          </w:tcPr>
          <w:p w14:paraId="0C70198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Analytical and proven auditing skills</w:t>
            </w:r>
          </w:p>
        </w:tc>
        <w:tc>
          <w:tcPr>
            <w:tcW w:w="605" w:type="dxa"/>
            <w:vAlign w:val="center"/>
          </w:tcPr>
          <w:p w14:paraId="438EFA1F"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5F1E610F" w14:textId="77777777" w:rsidR="00E52167" w:rsidRPr="00AD3643" w:rsidRDefault="00E52167" w:rsidP="00C95D06">
            <w:pPr>
              <w:spacing w:after="0"/>
              <w:jc w:val="both"/>
              <w:rPr>
                <w:rFonts w:ascii="Times New Roman" w:hAnsi="Times New Roman" w:cs="Times New Roman"/>
                <w:sz w:val="24"/>
                <w:szCs w:val="24"/>
                <w:lang w:val="en-US"/>
              </w:rPr>
            </w:pPr>
          </w:p>
        </w:tc>
        <w:tc>
          <w:tcPr>
            <w:tcW w:w="662" w:type="dxa"/>
            <w:vAlign w:val="center"/>
          </w:tcPr>
          <w:p w14:paraId="2B7E6893" w14:textId="77777777" w:rsidR="00E52167" w:rsidRPr="00AD3643" w:rsidRDefault="00E52167" w:rsidP="00C95D06">
            <w:pPr>
              <w:spacing w:after="0"/>
              <w:jc w:val="both"/>
              <w:rPr>
                <w:rFonts w:ascii="Times New Roman" w:hAnsi="Times New Roman" w:cs="Times New Roman"/>
                <w:sz w:val="24"/>
                <w:szCs w:val="24"/>
                <w:lang w:val="en-US"/>
              </w:rPr>
            </w:pPr>
          </w:p>
        </w:tc>
        <w:tc>
          <w:tcPr>
            <w:tcW w:w="864" w:type="dxa"/>
            <w:vAlign w:val="center"/>
          </w:tcPr>
          <w:p w14:paraId="2B7E8700" w14:textId="77777777" w:rsidR="00E52167" w:rsidRPr="00AD3643" w:rsidRDefault="00E52167" w:rsidP="00C95D06">
            <w:pPr>
              <w:spacing w:after="0"/>
              <w:jc w:val="both"/>
              <w:rPr>
                <w:rFonts w:ascii="Times New Roman" w:hAnsi="Times New Roman" w:cs="Times New Roman"/>
                <w:sz w:val="24"/>
                <w:szCs w:val="24"/>
                <w:lang w:val="en-US"/>
              </w:rPr>
            </w:pPr>
          </w:p>
        </w:tc>
        <w:tc>
          <w:tcPr>
            <w:tcW w:w="605" w:type="dxa"/>
            <w:vAlign w:val="center"/>
          </w:tcPr>
          <w:p w14:paraId="300DDC4C" w14:textId="77777777" w:rsidR="00E52167" w:rsidRPr="00AD3643" w:rsidRDefault="00E52167" w:rsidP="00C95D06">
            <w:pPr>
              <w:spacing w:after="0"/>
              <w:jc w:val="both"/>
              <w:rPr>
                <w:rFonts w:ascii="Times New Roman" w:hAnsi="Times New Roman" w:cs="Times New Roman"/>
                <w:sz w:val="24"/>
                <w:szCs w:val="24"/>
                <w:lang w:val="en-US"/>
              </w:rPr>
            </w:pPr>
          </w:p>
        </w:tc>
        <w:tc>
          <w:tcPr>
            <w:tcW w:w="835" w:type="dxa"/>
            <w:vAlign w:val="center"/>
          </w:tcPr>
          <w:p w14:paraId="1EC92C86" w14:textId="77777777" w:rsidR="00E52167" w:rsidRPr="00AD3643" w:rsidRDefault="00E52167" w:rsidP="00C95D06">
            <w:pPr>
              <w:spacing w:after="0"/>
              <w:jc w:val="both"/>
              <w:rPr>
                <w:rFonts w:ascii="Times New Roman" w:hAnsi="Times New Roman" w:cs="Times New Roman"/>
                <w:sz w:val="24"/>
                <w:szCs w:val="24"/>
                <w:lang w:val="en-US"/>
              </w:rPr>
            </w:pPr>
          </w:p>
        </w:tc>
        <w:tc>
          <w:tcPr>
            <w:tcW w:w="792" w:type="dxa"/>
            <w:vAlign w:val="center"/>
          </w:tcPr>
          <w:p w14:paraId="26BDCD2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5A73F4A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609F78D3" w14:textId="77777777" w:rsidTr="00440681">
        <w:trPr>
          <w:cantSplit/>
        </w:trPr>
        <w:tc>
          <w:tcPr>
            <w:tcW w:w="3672" w:type="dxa"/>
            <w:vAlign w:val="center"/>
          </w:tcPr>
          <w:p w14:paraId="71DEE8B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Maintenance error investigation skills</w:t>
            </w:r>
          </w:p>
        </w:tc>
        <w:tc>
          <w:tcPr>
            <w:tcW w:w="605" w:type="dxa"/>
            <w:vAlign w:val="center"/>
          </w:tcPr>
          <w:p w14:paraId="0F927FA3" w14:textId="77777777" w:rsidR="00E52167" w:rsidRPr="00AD3643" w:rsidRDefault="00E52167" w:rsidP="00C95D06">
            <w:pPr>
              <w:spacing w:after="0"/>
              <w:jc w:val="both"/>
              <w:rPr>
                <w:rFonts w:ascii="Times New Roman" w:hAnsi="Times New Roman" w:cs="Times New Roman"/>
                <w:sz w:val="24"/>
                <w:szCs w:val="24"/>
              </w:rPr>
            </w:pPr>
          </w:p>
        </w:tc>
        <w:tc>
          <w:tcPr>
            <w:tcW w:w="605" w:type="dxa"/>
            <w:vAlign w:val="center"/>
          </w:tcPr>
          <w:p w14:paraId="02374AE3" w14:textId="77777777" w:rsidR="00E52167" w:rsidRPr="00AD3643" w:rsidRDefault="00E52167" w:rsidP="00C95D06">
            <w:pPr>
              <w:spacing w:after="0"/>
              <w:jc w:val="both"/>
              <w:rPr>
                <w:rFonts w:ascii="Times New Roman" w:hAnsi="Times New Roman" w:cs="Times New Roman"/>
                <w:sz w:val="24"/>
                <w:szCs w:val="24"/>
              </w:rPr>
            </w:pPr>
          </w:p>
        </w:tc>
        <w:tc>
          <w:tcPr>
            <w:tcW w:w="662" w:type="dxa"/>
            <w:vAlign w:val="center"/>
          </w:tcPr>
          <w:p w14:paraId="1E40A28F" w14:textId="77777777" w:rsidR="00E52167" w:rsidRPr="00AD3643" w:rsidRDefault="00E52167" w:rsidP="00C95D06">
            <w:pPr>
              <w:spacing w:after="0"/>
              <w:jc w:val="both"/>
              <w:rPr>
                <w:rFonts w:ascii="Times New Roman" w:hAnsi="Times New Roman" w:cs="Times New Roman"/>
                <w:sz w:val="24"/>
                <w:szCs w:val="24"/>
              </w:rPr>
            </w:pPr>
          </w:p>
        </w:tc>
        <w:tc>
          <w:tcPr>
            <w:tcW w:w="864" w:type="dxa"/>
            <w:vAlign w:val="center"/>
          </w:tcPr>
          <w:p w14:paraId="30A9155B" w14:textId="77777777" w:rsidR="00E52167" w:rsidRPr="00AD3643" w:rsidRDefault="00E52167" w:rsidP="00C95D06">
            <w:pPr>
              <w:spacing w:after="0"/>
              <w:jc w:val="both"/>
              <w:rPr>
                <w:rFonts w:ascii="Times New Roman" w:hAnsi="Times New Roman" w:cs="Times New Roman"/>
                <w:sz w:val="24"/>
                <w:szCs w:val="24"/>
              </w:rPr>
            </w:pPr>
          </w:p>
        </w:tc>
        <w:tc>
          <w:tcPr>
            <w:tcW w:w="605" w:type="dxa"/>
            <w:vAlign w:val="center"/>
          </w:tcPr>
          <w:p w14:paraId="61A50086"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121204ED"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5853AF5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1D79B19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032B135E" w14:textId="77777777" w:rsidTr="00440681">
        <w:trPr>
          <w:cantSplit/>
        </w:trPr>
        <w:tc>
          <w:tcPr>
            <w:tcW w:w="3672" w:type="dxa"/>
            <w:vAlign w:val="center"/>
          </w:tcPr>
          <w:p w14:paraId="60EB179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Resources management and production planning skills</w:t>
            </w:r>
          </w:p>
        </w:tc>
        <w:tc>
          <w:tcPr>
            <w:tcW w:w="605" w:type="dxa"/>
            <w:vAlign w:val="center"/>
          </w:tcPr>
          <w:p w14:paraId="35F5972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29B4D16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62" w:type="dxa"/>
            <w:vAlign w:val="center"/>
          </w:tcPr>
          <w:p w14:paraId="18D2C15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684F639E" w14:textId="77777777" w:rsidR="00E52167" w:rsidRPr="00AD3643" w:rsidRDefault="00E52167" w:rsidP="00C95D06">
            <w:pPr>
              <w:spacing w:after="0"/>
              <w:jc w:val="both"/>
              <w:rPr>
                <w:rFonts w:ascii="Times New Roman" w:hAnsi="Times New Roman" w:cs="Times New Roman"/>
                <w:sz w:val="24"/>
                <w:szCs w:val="24"/>
              </w:rPr>
            </w:pPr>
          </w:p>
        </w:tc>
        <w:tc>
          <w:tcPr>
            <w:tcW w:w="605" w:type="dxa"/>
            <w:vAlign w:val="center"/>
          </w:tcPr>
          <w:p w14:paraId="48AD95C4"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46575339"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1F209570" w14:textId="77777777" w:rsidR="00E52167" w:rsidRPr="00AD3643" w:rsidRDefault="00E52167" w:rsidP="00C95D06">
            <w:pPr>
              <w:spacing w:after="0"/>
              <w:jc w:val="both"/>
              <w:rPr>
                <w:rFonts w:ascii="Times New Roman" w:hAnsi="Times New Roman" w:cs="Times New Roman"/>
                <w:sz w:val="24"/>
                <w:szCs w:val="24"/>
              </w:rPr>
            </w:pPr>
          </w:p>
        </w:tc>
        <w:tc>
          <w:tcPr>
            <w:tcW w:w="720" w:type="dxa"/>
            <w:vAlign w:val="center"/>
          </w:tcPr>
          <w:p w14:paraId="4011BA76"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4290A4B4" w14:textId="77777777" w:rsidTr="00440681">
        <w:trPr>
          <w:cantSplit/>
        </w:trPr>
        <w:tc>
          <w:tcPr>
            <w:tcW w:w="3672" w:type="dxa"/>
            <w:vAlign w:val="center"/>
          </w:tcPr>
          <w:p w14:paraId="2692B01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Teamwork, decision-making and leadership skills</w:t>
            </w:r>
          </w:p>
        </w:tc>
        <w:tc>
          <w:tcPr>
            <w:tcW w:w="605" w:type="dxa"/>
            <w:vAlign w:val="center"/>
          </w:tcPr>
          <w:p w14:paraId="647A9CB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EDA8C44" w14:textId="77777777" w:rsidR="00E52167" w:rsidRPr="00AD3643" w:rsidRDefault="00E52167" w:rsidP="00C95D06">
            <w:pPr>
              <w:spacing w:after="0"/>
              <w:jc w:val="both"/>
              <w:rPr>
                <w:rFonts w:ascii="Times New Roman" w:hAnsi="Times New Roman" w:cs="Times New Roman"/>
                <w:sz w:val="24"/>
                <w:szCs w:val="24"/>
              </w:rPr>
            </w:pPr>
          </w:p>
        </w:tc>
        <w:tc>
          <w:tcPr>
            <w:tcW w:w="662" w:type="dxa"/>
            <w:vAlign w:val="center"/>
          </w:tcPr>
          <w:p w14:paraId="3143F59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1731FA2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73575308"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78194D11"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7DAE8C6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2C4DDFD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r w:rsidR="00E52167" w:rsidRPr="00AD3643" w14:paraId="6C3FC4E4" w14:textId="77777777" w:rsidTr="00440681">
        <w:trPr>
          <w:cantSplit/>
        </w:trPr>
        <w:tc>
          <w:tcPr>
            <w:tcW w:w="3672" w:type="dxa"/>
            <w:vAlign w:val="center"/>
          </w:tcPr>
          <w:p w14:paraId="420B5B5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Ability to encourage a positive safety culture and apply a just culture</w:t>
            </w:r>
          </w:p>
        </w:tc>
        <w:tc>
          <w:tcPr>
            <w:tcW w:w="605" w:type="dxa"/>
            <w:vAlign w:val="center"/>
          </w:tcPr>
          <w:p w14:paraId="48BB08A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605" w:type="dxa"/>
            <w:vAlign w:val="center"/>
          </w:tcPr>
          <w:p w14:paraId="4A486495" w14:textId="77777777" w:rsidR="00E52167" w:rsidRPr="00AD3643" w:rsidRDefault="00E52167" w:rsidP="00C95D06">
            <w:pPr>
              <w:spacing w:after="0"/>
              <w:jc w:val="both"/>
              <w:rPr>
                <w:rFonts w:ascii="Times New Roman" w:hAnsi="Times New Roman" w:cs="Times New Roman"/>
                <w:sz w:val="24"/>
                <w:szCs w:val="24"/>
              </w:rPr>
            </w:pPr>
          </w:p>
        </w:tc>
        <w:tc>
          <w:tcPr>
            <w:tcW w:w="662" w:type="dxa"/>
            <w:vAlign w:val="center"/>
          </w:tcPr>
          <w:p w14:paraId="5647878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64" w:type="dxa"/>
            <w:vAlign w:val="center"/>
          </w:tcPr>
          <w:p w14:paraId="11268F33" w14:textId="77777777" w:rsidR="00E52167" w:rsidRPr="00AD3643" w:rsidRDefault="00E52167" w:rsidP="00C95D06">
            <w:pPr>
              <w:spacing w:after="0"/>
              <w:jc w:val="both"/>
              <w:rPr>
                <w:rFonts w:ascii="Times New Roman" w:hAnsi="Times New Roman" w:cs="Times New Roman"/>
                <w:sz w:val="24"/>
                <w:szCs w:val="24"/>
              </w:rPr>
            </w:pPr>
          </w:p>
        </w:tc>
        <w:tc>
          <w:tcPr>
            <w:tcW w:w="605" w:type="dxa"/>
            <w:vAlign w:val="center"/>
          </w:tcPr>
          <w:p w14:paraId="0F504C81" w14:textId="77777777" w:rsidR="00E52167" w:rsidRPr="00AD3643" w:rsidRDefault="00E52167" w:rsidP="00C95D06">
            <w:pPr>
              <w:spacing w:after="0"/>
              <w:jc w:val="both"/>
              <w:rPr>
                <w:rFonts w:ascii="Times New Roman" w:hAnsi="Times New Roman" w:cs="Times New Roman"/>
                <w:sz w:val="24"/>
                <w:szCs w:val="24"/>
              </w:rPr>
            </w:pPr>
          </w:p>
        </w:tc>
        <w:tc>
          <w:tcPr>
            <w:tcW w:w="835" w:type="dxa"/>
            <w:vAlign w:val="center"/>
          </w:tcPr>
          <w:p w14:paraId="1693B474" w14:textId="77777777" w:rsidR="00E52167" w:rsidRPr="00AD3643" w:rsidRDefault="00E52167" w:rsidP="00C95D06">
            <w:pPr>
              <w:spacing w:after="0"/>
              <w:jc w:val="both"/>
              <w:rPr>
                <w:rFonts w:ascii="Times New Roman" w:hAnsi="Times New Roman" w:cs="Times New Roman"/>
                <w:sz w:val="24"/>
                <w:szCs w:val="24"/>
              </w:rPr>
            </w:pPr>
          </w:p>
        </w:tc>
        <w:tc>
          <w:tcPr>
            <w:tcW w:w="792" w:type="dxa"/>
            <w:vAlign w:val="center"/>
          </w:tcPr>
          <w:p w14:paraId="3B7E737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720" w:type="dxa"/>
            <w:vAlign w:val="center"/>
          </w:tcPr>
          <w:p w14:paraId="7D20BEA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r>
    </w:tbl>
    <w:p w14:paraId="65715B22" w14:textId="77777777" w:rsidR="00E52167" w:rsidRPr="00AD3643" w:rsidRDefault="00E52167" w:rsidP="00C95D06">
      <w:pPr>
        <w:pStyle w:val="Heading2"/>
        <w:spacing w:after="0"/>
        <w:jc w:val="both"/>
        <w:rPr>
          <w:rFonts w:ascii="Times New Roman" w:hAnsi="Times New Roman" w:cs="Times New Roman"/>
          <w:sz w:val="24"/>
          <w:szCs w:val="24"/>
        </w:rPr>
      </w:pPr>
      <w:bookmarkStart w:id="78" w:name="toc_sec_0031"/>
      <w:bookmarkStart w:id="79" w:name="_Toc241066047"/>
      <w:r w:rsidRPr="00AD3643">
        <w:rPr>
          <w:rFonts w:ascii="Times New Roman" w:hAnsi="Times New Roman" w:cs="Times New Roman"/>
          <w:sz w:val="24"/>
          <w:szCs w:val="24"/>
        </w:rPr>
        <w:t>GM3 145.A.30(e) Personnel requirements</w:t>
      </w:r>
      <w:bookmarkEnd w:id="78"/>
      <w:bookmarkEnd w:id="79"/>
    </w:p>
    <w:p w14:paraId="57AE6FB6"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TEMPLATE FOR RECORDING EXPERIENCE/TRAINING</w:t>
      </w:r>
    </w:p>
    <w:p w14:paraId="5A00761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following template may be used to record the professional experience gained in an organisation</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240"/>
        <w:gridCol w:w="1296"/>
        <w:gridCol w:w="1440"/>
        <w:gridCol w:w="3240"/>
      </w:tblGrid>
      <w:tr w:rsidR="00E52167" w:rsidRPr="00AD3643" w14:paraId="38730AE7" w14:textId="77777777" w:rsidTr="00440681">
        <w:trPr>
          <w:cantSplit/>
          <w:tblHeader/>
        </w:trPr>
        <w:tc>
          <w:tcPr>
            <w:tcW w:w="3240" w:type="dxa"/>
            <w:vAlign w:val="center"/>
          </w:tcPr>
          <w:p w14:paraId="5EBFAD3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b/>
                <w:sz w:val="24"/>
                <w:szCs w:val="24"/>
                <w:lang w:val="en-US"/>
              </w:rPr>
              <w:t>Aviation maintenance personnel experience credential</w:t>
            </w:r>
          </w:p>
        </w:tc>
        <w:tc>
          <w:tcPr>
            <w:tcW w:w="5976" w:type="dxa"/>
            <w:gridSpan w:val="3"/>
            <w:vAlign w:val="center"/>
          </w:tcPr>
          <w:p w14:paraId="7A660FA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Details / entries</w:t>
            </w:r>
          </w:p>
        </w:tc>
      </w:tr>
      <w:tr w:rsidR="00E52167" w:rsidRPr="00AD3643" w14:paraId="5682AC70" w14:textId="77777777" w:rsidTr="00440681">
        <w:trPr>
          <w:cantSplit/>
        </w:trPr>
        <w:tc>
          <w:tcPr>
            <w:tcW w:w="3240" w:type="dxa"/>
            <w:vAlign w:val="center"/>
          </w:tcPr>
          <w:p w14:paraId="3076115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Name / given name</w:t>
            </w:r>
          </w:p>
        </w:tc>
        <w:tc>
          <w:tcPr>
            <w:tcW w:w="5976" w:type="dxa"/>
            <w:gridSpan w:val="3"/>
            <w:vAlign w:val="center"/>
          </w:tcPr>
          <w:p w14:paraId="3C8507A2"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0CBB002A" w14:textId="77777777" w:rsidTr="00440681">
        <w:trPr>
          <w:cantSplit/>
        </w:trPr>
        <w:tc>
          <w:tcPr>
            <w:tcW w:w="3240" w:type="dxa"/>
            <w:vAlign w:val="center"/>
          </w:tcPr>
          <w:p w14:paraId="6E1E35A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Address</w:t>
            </w:r>
          </w:p>
        </w:tc>
        <w:tc>
          <w:tcPr>
            <w:tcW w:w="5976" w:type="dxa"/>
            <w:gridSpan w:val="3"/>
            <w:vAlign w:val="center"/>
          </w:tcPr>
          <w:p w14:paraId="17FE2AC2"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5B266E5A" w14:textId="77777777" w:rsidTr="00440681">
        <w:trPr>
          <w:cantSplit/>
        </w:trPr>
        <w:tc>
          <w:tcPr>
            <w:tcW w:w="3240" w:type="dxa"/>
            <w:vAlign w:val="center"/>
          </w:tcPr>
          <w:p w14:paraId="7D01FAC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Telephone / e-mail</w:t>
            </w:r>
          </w:p>
        </w:tc>
        <w:tc>
          <w:tcPr>
            <w:tcW w:w="5976" w:type="dxa"/>
            <w:gridSpan w:val="3"/>
            <w:vAlign w:val="center"/>
          </w:tcPr>
          <w:p w14:paraId="4FFDEAD3"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752F4F49" w14:textId="77777777" w:rsidTr="00440681">
        <w:trPr>
          <w:cantSplit/>
        </w:trPr>
        <w:tc>
          <w:tcPr>
            <w:tcW w:w="3240" w:type="dxa"/>
            <w:vAlign w:val="center"/>
          </w:tcPr>
          <w:p w14:paraId="6C645A6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Independent worker</w:t>
            </w:r>
          </w:p>
        </w:tc>
        <w:tc>
          <w:tcPr>
            <w:tcW w:w="5976" w:type="dxa"/>
            <w:gridSpan w:val="3"/>
            <w:vAlign w:val="center"/>
          </w:tcPr>
          <w:p w14:paraId="60ECBD84" w14:textId="77777777" w:rsidR="00E52167" w:rsidRPr="00AD3643" w:rsidRDefault="00E52167" w:rsidP="00C95D06">
            <w:pPr>
              <w:spacing w:after="0"/>
              <w:jc w:val="both"/>
              <w:rPr>
                <w:rFonts w:ascii="Times New Roman" w:hAnsi="Times New Roman" w:cs="Times New Roman"/>
                <w:sz w:val="24"/>
                <w:szCs w:val="24"/>
              </w:rPr>
            </w:pPr>
          </w:p>
        </w:tc>
      </w:tr>
      <w:tr w:rsidR="00E52167" w:rsidRPr="003B4864" w14:paraId="01C1D57A" w14:textId="77777777" w:rsidTr="00440681">
        <w:trPr>
          <w:cantSplit/>
        </w:trPr>
        <w:tc>
          <w:tcPr>
            <w:tcW w:w="3240" w:type="dxa"/>
            <w:vAlign w:val="center"/>
          </w:tcPr>
          <w:p w14:paraId="330197A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Trade group</w:t>
            </w:r>
          </w:p>
        </w:tc>
        <w:tc>
          <w:tcPr>
            <w:tcW w:w="5976" w:type="dxa"/>
            <w:gridSpan w:val="3"/>
            <w:vAlign w:val="center"/>
          </w:tcPr>
          <w:p w14:paraId="5F23F6D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Airframe / engine / electric / avionics / other (specify):</w:t>
            </w:r>
          </w:p>
        </w:tc>
      </w:tr>
      <w:tr w:rsidR="00E52167" w:rsidRPr="00AD3643" w14:paraId="0FCC1512" w14:textId="77777777" w:rsidTr="00440681">
        <w:trPr>
          <w:cantSplit/>
        </w:trPr>
        <w:tc>
          <w:tcPr>
            <w:tcW w:w="3240" w:type="dxa"/>
            <w:vAlign w:val="center"/>
          </w:tcPr>
          <w:p w14:paraId="0427595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Employer details (when applicable)</w:t>
            </w:r>
          </w:p>
        </w:tc>
        <w:tc>
          <w:tcPr>
            <w:tcW w:w="5976" w:type="dxa"/>
            <w:gridSpan w:val="3"/>
            <w:vAlign w:val="center"/>
          </w:tcPr>
          <w:p w14:paraId="749B95B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Name; address; telephone</w:t>
            </w:r>
          </w:p>
        </w:tc>
      </w:tr>
      <w:tr w:rsidR="00E52167" w:rsidRPr="003B4864" w14:paraId="5187B877" w14:textId="77777777" w:rsidTr="00440681">
        <w:trPr>
          <w:cantSplit/>
        </w:trPr>
        <w:tc>
          <w:tcPr>
            <w:tcW w:w="3240" w:type="dxa"/>
            <w:vAlign w:val="center"/>
          </w:tcPr>
          <w:p w14:paraId="23511EB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lastRenderedPageBreak/>
              <w:t>Maintenance organisation details</w:t>
            </w:r>
          </w:p>
        </w:tc>
        <w:tc>
          <w:tcPr>
            <w:tcW w:w="5976" w:type="dxa"/>
            <w:gridSpan w:val="3"/>
            <w:vAlign w:val="center"/>
          </w:tcPr>
          <w:p w14:paraId="7A134D4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Name; address; telephone; approval number</w:t>
            </w:r>
          </w:p>
        </w:tc>
      </w:tr>
      <w:tr w:rsidR="00E52167" w:rsidRPr="00AD3643" w14:paraId="25BF6409" w14:textId="77777777" w:rsidTr="00440681">
        <w:trPr>
          <w:cantSplit/>
        </w:trPr>
        <w:tc>
          <w:tcPr>
            <w:tcW w:w="3240" w:type="dxa"/>
            <w:vAlign w:val="center"/>
          </w:tcPr>
          <w:p w14:paraId="5EBC7ED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Period of employment</w:t>
            </w:r>
          </w:p>
        </w:tc>
        <w:tc>
          <w:tcPr>
            <w:tcW w:w="5976" w:type="dxa"/>
            <w:gridSpan w:val="3"/>
            <w:vAlign w:val="center"/>
          </w:tcPr>
          <w:p w14:paraId="005A5D7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From: ____________________   To: ____________________</w:t>
            </w:r>
          </w:p>
        </w:tc>
      </w:tr>
      <w:tr w:rsidR="00E52167" w:rsidRPr="003B4864" w14:paraId="4B896021" w14:textId="77777777" w:rsidTr="00440681">
        <w:trPr>
          <w:cantSplit/>
        </w:trPr>
        <w:tc>
          <w:tcPr>
            <w:tcW w:w="3240" w:type="dxa"/>
            <w:vAlign w:val="center"/>
          </w:tcPr>
          <w:p w14:paraId="3A6D78A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Domain of employment</w:t>
            </w:r>
          </w:p>
        </w:tc>
        <w:tc>
          <w:tcPr>
            <w:tcW w:w="5976" w:type="dxa"/>
            <w:gridSpan w:val="3"/>
            <w:vAlign w:val="center"/>
          </w:tcPr>
          <w:p w14:paraId="14BA563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Planning; engineering; technical records; store department; purchasing</w:t>
            </w:r>
          </w:p>
        </w:tc>
      </w:tr>
      <w:tr w:rsidR="00E52167" w:rsidRPr="003B4864" w14:paraId="388BAFFB" w14:textId="77777777" w:rsidTr="00440681">
        <w:trPr>
          <w:cantSplit/>
        </w:trPr>
        <w:tc>
          <w:tcPr>
            <w:tcW w:w="3240" w:type="dxa"/>
            <w:vAlign w:val="center"/>
          </w:tcPr>
          <w:p w14:paraId="7039B30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Mechanics / technician activities</w:t>
            </w:r>
          </w:p>
        </w:tc>
        <w:tc>
          <w:tcPr>
            <w:tcW w:w="5976" w:type="dxa"/>
            <w:gridSpan w:val="3"/>
            <w:vAlign w:val="center"/>
          </w:tcPr>
          <w:p w14:paraId="7095A94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Line maintenance; base maintenance; component maintenance; servicing; removal/installation; testing/inspection; scheduled maintenance; inspection; repair; trouble-shooting; overhaul; re-treatment; reassembly</w:t>
            </w:r>
          </w:p>
        </w:tc>
      </w:tr>
      <w:tr w:rsidR="00E52167" w:rsidRPr="00AD3643" w14:paraId="563FD995" w14:textId="77777777" w:rsidTr="00440681">
        <w:trPr>
          <w:cantSplit/>
        </w:trPr>
        <w:tc>
          <w:tcPr>
            <w:tcW w:w="3240" w:type="dxa"/>
            <w:vAlign w:val="center"/>
          </w:tcPr>
          <w:p w14:paraId="61EB0A0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Aircraft / component type</w:t>
            </w:r>
          </w:p>
        </w:tc>
        <w:tc>
          <w:tcPr>
            <w:tcW w:w="5976" w:type="dxa"/>
            <w:gridSpan w:val="3"/>
            <w:vAlign w:val="center"/>
          </w:tcPr>
          <w:p w14:paraId="10EC59DB" w14:textId="77777777" w:rsidR="00E52167" w:rsidRPr="00AD3643" w:rsidRDefault="00E52167" w:rsidP="00C95D06">
            <w:pPr>
              <w:spacing w:after="0"/>
              <w:jc w:val="both"/>
              <w:rPr>
                <w:rFonts w:ascii="Times New Roman" w:hAnsi="Times New Roman" w:cs="Times New Roman"/>
                <w:sz w:val="24"/>
                <w:szCs w:val="24"/>
              </w:rPr>
            </w:pPr>
          </w:p>
        </w:tc>
      </w:tr>
      <w:tr w:rsidR="00E52167" w:rsidRPr="003B4864" w14:paraId="7564A48E" w14:textId="77777777" w:rsidTr="00440681">
        <w:trPr>
          <w:cantSplit/>
        </w:trPr>
        <w:tc>
          <w:tcPr>
            <w:tcW w:w="3240" w:type="dxa"/>
            <w:vAlign w:val="center"/>
          </w:tcPr>
          <w:p w14:paraId="6A8B1DB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Certifying staff and support staff</w:t>
            </w:r>
          </w:p>
        </w:tc>
        <w:tc>
          <w:tcPr>
            <w:tcW w:w="5976" w:type="dxa"/>
            <w:gridSpan w:val="3"/>
            <w:vAlign w:val="center"/>
          </w:tcPr>
          <w:p w14:paraId="75FFE79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Cat. A; Cat. B1; Cat. B2; Cat. C; component type; other (e.g. NDT); certification privileges: Yes / No</w:t>
            </w:r>
          </w:p>
        </w:tc>
      </w:tr>
      <w:tr w:rsidR="00E52167" w:rsidRPr="003B4864" w14:paraId="65F6D5D9" w14:textId="77777777" w:rsidTr="00440681">
        <w:trPr>
          <w:cantSplit/>
        </w:trPr>
        <w:tc>
          <w:tcPr>
            <w:tcW w:w="3240" w:type="dxa"/>
            <w:vAlign w:val="center"/>
          </w:tcPr>
          <w:p w14:paraId="3109E2F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Specialised services</w:t>
            </w:r>
          </w:p>
        </w:tc>
        <w:tc>
          <w:tcPr>
            <w:tcW w:w="5976" w:type="dxa"/>
            <w:gridSpan w:val="3"/>
            <w:vAlign w:val="center"/>
          </w:tcPr>
          <w:p w14:paraId="635599B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Speciality (NDT, composites, welding, etc.):</w:t>
            </w:r>
          </w:p>
        </w:tc>
      </w:tr>
      <w:tr w:rsidR="00E52167" w:rsidRPr="003B4864" w14:paraId="5B2AB566" w14:textId="77777777" w:rsidTr="00440681">
        <w:trPr>
          <w:cantSplit/>
        </w:trPr>
        <w:tc>
          <w:tcPr>
            <w:tcW w:w="3240" w:type="dxa"/>
            <w:vAlign w:val="center"/>
          </w:tcPr>
          <w:p w14:paraId="4976D3E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Skilled personnel</w:t>
            </w:r>
          </w:p>
        </w:tc>
        <w:tc>
          <w:tcPr>
            <w:tcW w:w="5976" w:type="dxa"/>
            <w:gridSpan w:val="3"/>
            <w:vAlign w:val="center"/>
          </w:tcPr>
          <w:p w14:paraId="6EAC183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Speciality (sheet metal, structures, wireman, upholstery, etc.):</w:t>
            </w:r>
          </w:p>
        </w:tc>
      </w:tr>
      <w:tr w:rsidR="00E52167" w:rsidRPr="00AD3643" w14:paraId="5216B1DE" w14:textId="77777777" w:rsidTr="00440681">
        <w:trPr>
          <w:cantSplit/>
        </w:trPr>
        <w:tc>
          <w:tcPr>
            <w:tcW w:w="3240" w:type="dxa"/>
            <w:vAlign w:val="center"/>
          </w:tcPr>
          <w:p w14:paraId="107DF0C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Ground equipment operation / supervision</w:t>
            </w:r>
          </w:p>
        </w:tc>
        <w:tc>
          <w:tcPr>
            <w:tcW w:w="5976" w:type="dxa"/>
            <w:gridSpan w:val="3"/>
            <w:vAlign w:val="center"/>
          </w:tcPr>
          <w:p w14:paraId="4A8B039E" w14:textId="77777777" w:rsidR="00E52167" w:rsidRPr="00AD3643" w:rsidRDefault="00E52167" w:rsidP="00C95D06">
            <w:pPr>
              <w:spacing w:after="0"/>
              <w:jc w:val="both"/>
              <w:rPr>
                <w:rFonts w:ascii="Times New Roman" w:hAnsi="Times New Roman" w:cs="Times New Roman"/>
                <w:sz w:val="24"/>
                <w:szCs w:val="24"/>
              </w:rPr>
            </w:pPr>
          </w:p>
        </w:tc>
      </w:tr>
      <w:tr w:rsidR="00E52167" w:rsidRPr="003B4864" w14:paraId="449F0FEB" w14:textId="77777777" w:rsidTr="00440681">
        <w:trPr>
          <w:cantSplit/>
        </w:trPr>
        <w:tc>
          <w:tcPr>
            <w:tcW w:w="3240" w:type="dxa"/>
            <w:vAlign w:val="center"/>
          </w:tcPr>
          <w:p w14:paraId="4BB279F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Compliance monitoring / training / safety investigation / safety management</w:t>
            </w:r>
          </w:p>
        </w:tc>
        <w:tc>
          <w:tcPr>
            <w:tcW w:w="5976" w:type="dxa"/>
            <w:gridSpan w:val="3"/>
            <w:vAlign w:val="center"/>
          </w:tcPr>
          <w:p w14:paraId="18FD3320" w14:textId="77777777" w:rsidR="00E52167" w:rsidRPr="00AD3643" w:rsidRDefault="00E52167" w:rsidP="00C95D06">
            <w:pPr>
              <w:spacing w:after="0"/>
              <w:jc w:val="both"/>
              <w:rPr>
                <w:rFonts w:ascii="Times New Roman" w:hAnsi="Times New Roman" w:cs="Times New Roman"/>
                <w:sz w:val="24"/>
                <w:szCs w:val="24"/>
                <w:lang w:val="en-US"/>
              </w:rPr>
            </w:pPr>
          </w:p>
        </w:tc>
      </w:tr>
      <w:tr w:rsidR="00E52167" w:rsidRPr="00AD3643" w14:paraId="5987B4AB" w14:textId="77777777" w:rsidTr="00440681">
        <w:trPr>
          <w:cantSplit/>
          <w:tblHeader/>
        </w:trPr>
        <w:tc>
          <w:tcPr>
            <w:tcW w:w="3240" w:type="dxa"/>
            <w:vAlign w:val="center"/>
          </w:tcPr>
          <w:p w14:paraId="2532742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Details of employment</w:t>
            </w:r>
          </w:p>
        </w:tc>
        <w:tc>
          <w:tcPr>
            <w:tcW w:w="5976" w:type="dxa"/>
            <w:gridSpan w:val="3"/>
            <w:vAlign w:val="center"/>
          </w:tcPr>
          <w:p w14:paraId="1B9FB8F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Entry</w:t>
            </w:r>
          </w:p>
        </w:tc>
      </w:tr>
      <w:tr w:rsidR="00E52167" w:rsidRPr="00AD3643" w14:paraId="73701504" w14:textId="77777777" w:rsidTr="00440681">
        <w:trPr>
          <w:cantSplit/>
        </w:trPr>
        <w:tc>
          <w:tcPr>
            <w:tcW w:w="3240" w:type="dxa"/>
            <w:vAlign w:val="center"/>
          </w:tcPr>
          <w:p w14:paraId="462AF54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Organisation / function</w:t>
            </w:r>
          </w:p>
        </w:tc>
        <w:tc>
          <w:tcPr>
            <w:tcW w:w="5976" w:type="dxa"/>
            <w:gridSpan w:val="3"/>
            <w:vAlign w:val="center"/>
          </w:tcPr>
          <w:p w14:paraId="790FEFD1"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157E4186" w14:textId="77777777" w:rsidTr="00440681">
        <w:trPr>
          <w:cantSplit/>
        </w:trPr>
        <w:tc>
          <w:tcPr>
            <w:tcW w:w="3240" w:type="dxa"/>
            <w:vAlign w:val="center"/>
          </w:tcPr>
          <w:p w14:paraId="2DE3307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Period and duties</w:t>
            </w:r>
          </w:p>
        </w:tc>
        <w:tc>
          <w:tcPr>
            <w:tcW w:w="5976" w:type="dxa"/>
            <w:gridSpan w:val="3"/>
            <w:vAlign w:val="center"/>
          </w:tcPr>
          <w:p w14:paraId="7FC7225D"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2AD6C269" w14:textId="77777777" w:rsidTr="00440681">
        <w:trPr>
          <w:cantSplit/>
        </w:trPr>
        <w:tc>
          <w:tcPr>
            <w:tcW w:w="3240" w:type="dxa"/>
            <w:vAlign w:val="center"/>
          </w:tcPr>
          <w:p w14:paraId="27A46F5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Aircraft, components or systems</w:t>
            </w:r>
          </w:p>
        </w:tc>
        <w:tc>
          <w:tcPr>
            <w:tcW w:w="5976" w:type="dxa"/>
            <w:gridSpan w:val="3"/>
            <w:vAlign w:val="center"/>
          </w:tcPr>
          <w:p w14:paraId="6A506F9D"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2A5A8650" w14:textId="77777777" w:rsidTr="00440681">
        <w:trPr>
          <w:cantSplit/>
        </w:trPr>
        <w:tc>
          <w:tcPr>
            <w:tcW w:w="3240" w:type="dxa"/>
            <w:vAlign w:val="center"/>
          </w:tcPr>
          <w:p w14:paraId="0BED10F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Supervisor / verifier</w:t>
            </w:r>
          </w:p>
        </w:tc>
        <w:tc>
          <w:tcPr>
            <w:tcW w:w="5976" w:type="dxa"/>
            <w:gridSpan w:val="3"/>
            <w:vAlign w:val="center"/>
          </w:tcPr>
          <w:p w14:paraId="20B0668A"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50F019DD" w14:textId="77777777" w:rsidTr="00440681">
        <w:trPr>
          <w:cantSplit/>
          <w:tblHeader/>
        </w:trPr>
        <w:tc>
          <w:tcPr>
            <w:tcW w:w="4536" w:type="dxa"/>
            <w:gridSpan w:val="2"/>
            <w:vAlign w:val="center"/>
          </w:tcPr>
          <w:p w14:paraId="6DDF7E2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b/>
                <w:sz w:val="24"/>
                <w:szCs w:val="24"/>
                <w:lang w:val="en-US"/>
              </w:rPr>
              <w:t>Training received from the contracting organisation</w:t>
            </w:r>
          </w:p>
        </w:tc>
        <w:tc>
          <w:tcPr>
            <w:tcW w:w="1440" w:type="dxa"/>
            <w:vAlign w:val="center"/>
          </w:tcPr>
          <w:p w14:paraId="31F7AF3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Date</w:t>
            </w:r>
          </w:p>
        </w:tc>
        <w:tc>
          <w:tcPr>
            <w:tcW w:w="3240" w:type="dxa"/>
            <w:vAlign w:val="center"/>
          </w:tcPr>
          <w:p w14:paraId="060A371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Nature of training / remarks</w:t>
            </w:r>
          </w:p>
        </w:tc>
      </w:tr>
      <w:tr w:rsidR="00E52167" w:rsidRPr="00AD3643" w14:paraId="66469246" w14:textId="77777777" w:rsidTr="00440681">
        <w:trPr>
          <w:cantSplit/>
        </w:trPr>
        <w:tc>
          <w:tcPr>
            <w:tcW w:w="4536" w:type="dxa"/>
            <w:gridSpan w:val="2"/>
            <w:vAlign w:val="center"/>
          </w:tcPr>
          <w:p w14:paraId="261D0914" w14:textId="77777777" w:rsidR="00E52167" w:rsidRPr="00AD3643" w:rsidRDefault="00E52167" w:rsidP="00C95D06">
            <w:pPr>
              <w:spacing w:after="0"/>
              <w:jc w:val="both"/>
              <w:rPr>
                <w:rFonts w:ascii="Times New Roman" w:hAnsi="Times New Roman" w:cs="Times New Roman"/>
                <w:sz w:val="24"/>
                <w:szCs w:val="24"/>
              </w:rPr>
            </w:pPr>
          </w:p>
        </w:tc>
        <w:tc>
          <w:tcPr>
            <w:tcW w:w="1440" w:type="dxa"/>
            <w:vAlign w:val="center"/>
          </w:tcPr>
          <w:p w14:paraId="42F21D48" w14:textId="77777777" w:rsidR="00E52167" w:rsidRPr="00AD3643" w:rsidRDefault="00E52167" w:rsidP="00C95D06">
            <w:pPr>
              <w:spacing w:after="0"/>
              <w:jc w:val="both"/>
              <w:rPr>
                <w:rFonts w:ascii="Times New Roman" w:hAnsi="Times New Roman" w:cs="Times New Roman"/>
                <w:sz w:val="24"/>
                <w:szCs w:val="24"/>
              </w:rPr>
            </w:pPr>
          </w:p>
        </w:tc>
        <w:tc>
          <w:tcPr>
            <w:tcW w:w="3240" w:type="dxa"/>
            <w:vAlign w:val="center"/>
          </w:tcPr>
          <w:p w14:paraId="5D5A24E7"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4C10A72F" w14:textId="77777777" w:rsidTr="00440681">
        <w:trPr>
          <w:cantSplit/>
        </w:trPr>
        <w:tc>
          <w:tcPr>
            <w:tcW w:w="4536" w:type="dxa"/>
            <w:gridSpan w:val="2"/>
            <w:vAlign w:val="center"/>
          </w:tcPr>
          <w:p w14:paraId="3C6677E6" w14:textId="77777777" w:rsidR="00E52167" w:rsidRPr="00AD3643" w:rsidRDefault="00E52167" w:rsidP="00C95D06">
            <w:pPr>
              <w:spacing w:after="0"/>
              <w:jc w:val="both"/>
              <w:rPr>
                <w:rFonts w:ascii="Times New Roman" w:hAnsi="Times New Roman" w:cs="Times New Roman"/>
                <w:sz w:val="24"/>
                <w:szCs w:val="24"/>
              </w:rPr>
            </w:pPr>
          </w:p>
        </w:tc>
        <w:tc>
          <w:tcPr>
            <w:tcW w:w="1440" w:type="dxa"/>
            <w:vAlign w:val="center"/>
          </w:tcPr>
          <w:p w14:paraId="42127EAF" w14:textId="77777777" w:rsidR="00E52167" w:rsidRPr="00AD3643" w:rsidRDefault="00E52167" w:rsidP="00C95D06">
            <w:pPr>
              <w:spacing w:after="0"/>
              <w:jc w:val="both"/>
              <w:rPr>
                <w:rFonts w:ascii="Times New Roman" w:hAnsi="Times New Roman" w:cs="Times New Roman"/>
                <w:sz w:val="24"/>
                <w:szCs w:val="24"/>
              </w:rPr>
            </w:pPr>
          </w:p>
        </w:tc>
        <w:tc>
          <w:tcPr>
            <w:tcW w:w="3240" w:type="dxa"/>
            <w:vAlign w:val="center"/>
          </w:tcPr>
          <w:p w14:paraId="5A92C807"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225871D9" w14:textId="77777777" w:rsidTr="00440681">
        <w:trPr>
          <w:cantSplit/>
        </w:trPr>
        <w:tc>
          <w:tcPr>
            <w:tcW w:w="4536" w:type="dxa"/>
            <w:gridSpan w:val="2"/>
            <w:vAlign w:val="center"/>
          </w:tcPr>
          <w:p w14:paraId="35EA8C78" w14:textId="77777777" w:rsidR="00E52167" w:rsidRPr="00AD3643" w:rsidRDefault="00E52167" w:rsidP="00C95D06">
            <w:pPr>
              <w:spacing w:after="0"/>
              <w:jc w:val="both"/>
              <w:rPr>
                <w:rFonts w:ascii="Times New Roman" w:hAnsi="Times New Roman" w:cs="Times New Roman"/>
                <w:sz w:val="24"/>
                <w:szCs w:val="24"/>
              </w:rPr>
            </w:pPr>
          </w:p>
        </w:tc>
        <w:tc>
          <w:tcPr>
            <w:tcW w:w="1440" w:type="dxa"/>
            <w:vAlign w:val="center"/>
          </w:tcPr>
          <w:p w14:paraId="021B9BA2" w14:textId="77777777" w:rsidR="00E52167" w:rsidRPr="00AD3643" w:rsidRDefault="00E52167" w:rsidP="00C95D06">
            <w:pPr>
              <w:spacing w:after="0"/>
              <w:jc w:val="both"/>
              <w:rPr>
                <w:rFonts w:ascii="Times New Roman" w:hAnsi="Times New Roman" w:cs="Times New Roman"/>
                <w:sz w:val="24"/>
                <w:szCs w:val="24"/>
              </w:rPr>
            </w:pPr>
          </w:p>
        </w:tc>
        <w:tc>
          <w:tcPr>
            <w:tcW w:w="3240" w:type="dxa"/>
            <w:vAlign w:val="center"/>
          </w:tcPr>
          <w:p w14:paraId="782E46A0"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50381551" w14:textId="77777777" w:rsidTr="00440681">
        <w:trPr>
          <w:cantSplit/>
          <w:tblHeader/>
        </w:trPr>
        <w:tc>
          <w:tcPr>
            <w:tcW w:w="3240" w:type="dxa"/>
            <w:vAlign w:val="center"/>
          </w:tcPr>
          <w:p w14:paraId="361456D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Certification</w:t>
            </w:r>
          </w:p>
        </w:tc>
        <w:tc>
          <w:tcPr>
            <w:tcW w:w="5976" w:type="dxa"/>
            <w:gridSpan w:val="3"/>
            <w:vAlign w:val="center"/>
          </w:tcPr>
          <w:p w14:paraId="45545B1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Entry</w:t>
            </w:r>
          </w:p>
        </w:tc>
      </w:tr>
      <w:tr w:rsidR="00E52167" w:rsidRPr="00AD3643" w14:paraId="29314B40" w14:textId="77777777" w:rsidTr="00440681">
        <w:trPr>
          <w:cantSplit/>
        </w:trPr>
        <w:tc>
          <w:tcPr>
            <w:tcW w:w="3240" w:type="dxa"/>
            <w:vAlign w:val="center"/>
          </w:tcPr>
          <w:p w14:paraId="12969D9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Certified by — name / position</w:t>
            </w:r>
          </w:p>
        </w:tc>
        <w:tc>
          <w:tcPr>
            <w:tcW w:w="5976" w:type="dxa"/>
            <w:gridSpan w:val="3"/>
            <w:vAlign w:val="center"/>
          </w:tcPr>
          <w:p w14:paraId="3728898A"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79A60FCC" w14:textId="77777777" w:rsidTr="00440681">
        <w:trPr>
          <w:cantSplit/>
        </w:trPr>
        <w:tc>
          <w:tcPr>
            <w:tcW w:w="3240" w:type="dxa"/>
            <w:vAlign w:val="center"/>
          </w:tcPr>
          <w:p w14:paraId="6320A11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Date / signature / contact details</w:t>
            </w:r>
          </w:p>
        </w:tc>
        <w:tc>
          <w:tcPr>
            <w:tcW w:w="5976" w:type="dxa"/>
            <w:gridSpan w:val="3"/>
            <w:vAlign w:val="center"/>
          </w:tcPr>
          <w:p w14:paraId="75D14DE4" w14:textId="77777777" w:rsidR="00E52167" w:rsidRPr="00AD3643" w:rsidRDefault="00E52167" w:rsidP="00C95D06">
            <w:pPr>
              <w:spacing w:after="0"/>
              <w:jc w:val="both"/>
              <w:rPr>
                <w:rFonts w:ascii="Times New Roman" w:hAnsi="Times New Roman" w:cs="Times New Roman"/>
                <w:sz w:val="24"/>
                <w:szCs w:val="24"/>
              </w:rPr>
            </w:pPr>
          </w:p>
        </w:tc>
      </w:tr>
      <w:tr w:rsidR="00E52167" w:rsidRPr="003B4864" w14:paraId="08F6E2D9" w14:textId="77777777" w:rsidTr="00440681">
        <w:trPr>
          <w:cantSplit/>
        </w:trPr>
        <w:tc>
          <w:tcPr>
            <w:tcW w:w="3240" w:type="dxa"/>
            <w:vAlign w:val="center"/>
          </w:tcPr>
          <w:p w14:paraId="72B8FB9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Advisory note</w:t>
            </w:r>
          </w:p>
        </w:tc>
        <w:tc>
          <w:tcPr>
            <w:tcW w:w="5976" w:type="dxa"/>
            <w:gridSpan w:val="3"/>
            <w:vAlign w:val="center"/>
          </w:tcPr>
          <w:p w14:paraId="3D97F0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copy of the credentials is kept for at least 3 years from issuance by the maintenance organisation.</w:t>
            </w:r>
          </w:p>
        </w:tc>
      </w:tr>
    </w:tbl>
    <w:p w14:paraId="0269659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and the training received and to be considered during the competency assessment of an individual in</w:t>
      </w:r>
    </w:p>
    <w:p w14:paraId="206A312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another organisation.</w:t>
      </w:r>
    </w:p>
    <w:p w14:paraId="24EBCDCE"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80" w:name="toc_sec_0032"/>
      <w:bookmarkStart w:id="81" w:name="_Toc241066048"/>
      <w:r w:rsidRPr="00AD3643">
        <w:rPr>
          <w:rFonts w:ascii="Times New Roman" w:hAnsi="Times New Roman" w:cs="Times New Roman"/>
          <w:sz w:val="24"/>
          <w:szCs w:val="24"/>
          <w:lang w:val="en-US"/>
        </w:rPr>
        <w:lastRenderedPageBreak/>
        <w:t>GM4 145.A.30(e) Personnel requirements</w:t>
      </w:r>
      <w:bookmarkEnd w:id="80"/>
      <w:bookmarkEnd w:id="81"/>
    </w:p>
    <w:p w14:paraId="7CB8F852"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COMPETENCY OF THE SAFETY MANAGER</w:t>
      </w:r>
    </w:p>
    <w:p w14:paraId="5F1B538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competency of a safety manager should include, but not be limited to, the following:</w:t>
      </w:r>
    </w:p>
    <w:p w14:paraId="3660580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knowledge of ICAO standards and European requirements on safety management;</w:t>
      </w:r>
    </w:p>
    <w:p w14:paraId="291EEE2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an understanding of management systems, including compliance monitoring systems;</w:t>
      </w:r>
    </w:p>
    <w:p w14:paraId="22A2F23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an understanding of risk management;</w:t>
      </w:r>
    </w:p>
    <w:p w14:paraId="6032C34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an understanding of safety investigation techniques and root cause methodologies;</w:t>
      </w:r>
    </w:p>
    <w:p w14:paraId="167972F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an understanding of human factors;</w:t>
      </w:r>
    </w:p>
    <w:p w14:paraId="4C3BA20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understanding and promotion of a positive safety culture;</w:t>
      </w:r>
    </w:p>
    <w:p w14:paraId="26C4BB6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operational experience related to the activities of the organisation;</w:t>
      </w:r>
    </w:p>
    <w:p w14:paraId="6455D00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safety management experience;</w:t>
      </w:r>
    </w:p>
    <w:p w14:paraId="4B1AA18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interpersonal and leadership skills, and the ability to influence staff;</w:t>
      </w:r>
    </w:p>
    <w:p w14:paraId="57B414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(j)   oral and written communications skills;</w:t>
      </w:r>
    </w:p>
    <w:p w14:paraId="328E1AD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   data management, analytical and problem-solving skills.</w:t>
      </w:r>
    </w:p>
    <w:p w14:paraId="10A89050" w14:textId="77777777" w:rsidR="00E52167" w:rsidRPr="009F0D3D" w:rsidRDefault="00E52167" w:rsidP="00C95D06">
      <w:pPr>
        <w:pStyle w:val="Heading2"/>
        <w:spacing w:after="0"/>
        <w:jc w:val="both"/>
        <w:rPr>
          <w:rFonts w:ascii="Times New Roman" w:hAnsi="Times New Roman" w:cs="Times New Roman"/>
          <w:sz w:val="24"/>
          <w:szCs w:val="24"/>
          <w:lang w:val="en-US"/>
        </w:rPr>
      </w:pPr>
      <w:bookmarkStart w:id="82" w:name="toc_sec_0033"/>
      <w:bookmarkStart w:id="83" w:name="_Toc241066049"/>
      <w:r w:rsidRPr="009F0D3D">
        <w:rPr>
          <w:rFonts w:ascii="Times New Roman" w:hAnsi="Times New Roman" w:cs="Times New Roman"/>
          <w:sz w:val="24"/>
          <w:szCs w:val="24"/>
          <w:lang w:val="en-US"/>
        </w:rPr>
        <w:t>GM5 145.A.30(e) Personnel requirements</w:t>
      </w:r>
      <w:bookmarkEnd w:id="82"/>
      <w:bookmarkEnd w:id="83"/>
    </w:p>
    <w:p w14:paraId="127E0FD8"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TRAINING (INCLUDING HUMAN FACTORS)</w:t>
      </w:r>
    </w:p>
    <w:p w14:paraId="093290C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scope of the safety training and the related training programme will vary significantly depending on the size and complexity of the organisation. Safety training should reflect the evolving management system, and the changing roles of the personnel who make it work.</w:t>
      </w:r>
    </w:p>
    <w:p w14:paraId="73E9352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In recognition of this, training should be provided to management and staff at least:</w:t>
      </w:r>
    </w:p>
    <w:p w14:paraId="54A8F39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during the initial implementation of safety management processes;</w:t>
      </w:r>
    </w:p>
    <w:p w14:paraId="709664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for all new staff or personnel recently allocated to safety management-related tasks;</w:t>
      </w:r>
    </w:p>
    <w:p w14:paraId="549802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on a regular basis to refresh their knowledge and to understand changes to the management system;</w:t>
      </w:r>
    </w:p>
    <w:p w14:paraId="66A2764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when changes in personnel affect safety management roles, and related accountabilities, responsibilities, and authorities; and NOTE: In the context of safety management, the term ‘authority’ is used in relation to the level of management in the organisation that is necessary to make decisions related to risk tolerability.</w:t>
      </w:r>
    </w:p>
    <w:p w14:paraId="01A14C3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when performing dedicated safety functions in domains such as safety risk management, compliance monitoring, and internal investigations.</w:t>
      </w:r>
    </w:p>
    <w:p w14:paraId="23F6284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Safety training is subject to the record-keeping requirements in point 145.A.55(d).</w:t>
      </w:r>
    </w:p>
    <w:p w14:paraId="357347FE"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84" w:name="toc_sec_0034"/>
      <w:bookmarkStart w:id="85" w:name="_Toc241066050"/>
      <w:r w:rsidRPr="00AD3643">
        <w:rPr>
          <w:rFonts w:ascii="Times New Roman" w:hAnsi="Times New Roman" w:cs="Times New Roman"/>
          <w:sz w:val="24"/>
          <w:szCs w:val="24"/>
          <w:lang w:val="en-US"/>
        </w:rPr>
        <w:t>AMC 145.A.30(f) Personnel requirements</w:t>
      </w:r>
      <w:bookmarkEnd w:id="84"/>
      <w:bookmarkEnd w:id="85"/>
    </w:p>
    <w:p w14:paraId="1383E5F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Continued airworthiness non-destructive testing means such testing specified by the type certificate holder or the declarant of a declaration of design compliance, aircraft or engine or propeller manufacturer, in accordance with the maintenance data as specified in 145.A.45 for in service aircraft/aircraft components for the purpose of determining the continued fitness of the product to operate safely.</w:t>
      </w:r>
    </w:p>
    <w:p w14:paraId="461AE4B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Appropriately qualified means to Level 1, 2 or 3 as defined by the European Standard EN 4179 dependent upon the non-destructive testing function to be carried out.</w:t>
      </w:r>
    </w:p>
    <w:p w14:paraId="10C5171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3.    Notwithstanding the fact that Level 3 personnel may be qualified via EN 4179 to establish and authorise methods, techniques, etc., this does not permit such personnel to deviate from methods and </w:t>
      </w:r>
      <w:r w:rsidRPr="00AD3643">
        <w:rPr>
          <w:rFonts w:ascii="Times New Roman" w:hAnsi="Times New Roman" w:cs="Times New Roman"/>
          <w:sz w:val="24"/>
          <w:szCs w:val="24"/>
          <w:lang w:val="en-US"/>
        </w:rPr>
        <w:lastRenderedPageBreak/>
        <w:t>techniques published in the maintenance data, unless the maintenance data the expressly permits such deviation.</w:t>
      </w:r>
    </w:p>
    <w:p w14:paraId="7413F305" w14:textId="54429A6F"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4.    Notwithstanding the general references in EN 4179 to a national aerospace non-destructive testing (NDT) board, all examinations should be conducted by personnel or organisations under the general control of such a board. In the absence of a national aerospace NDT board, the aerospace NDT board of another </w:t>
      </w:r>
      <w:r w:rsidR="00A46415">
        <w:rPr>
          <w:rFonts w:ascii="Times New Roman" w:hAnsi="Times New Roman" w:cs="Times New Roman"/>
          <w:sz w:val="24"/>
          <w:szCs w:val="24"/>
          <w:lang w:val="en-US"/>
        </w:rPr>
        <w:t>s</w:t>
      </w:r>
      <w:r w:rsidRPr="00AD3643">
        <w:rPr>
          <w:rFonts w:ascii="Times New Roman" w:hAnsi="Times New Roman" w:cs="Times New Roman"/>
          <w:sz w:val="24"/>
          <w:szCs w:val="24"/>
          <w:lang w:val="en-US"/>
        </w:rPr>
        <w:t>tate should be used, as defined by the competent authority.</w:t>
      </w:r>
    </w:p>
    <w:p w14:paraId="3C5EF7F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Particular non-destructive test means any one or more of the following; Dye penetrant, magnetic particle, eddy current, ultrasonic and radiographic methods including X ray and gamma ray.</w:t>
      </w:r>
    </w:p>
    <w:p w14:paraId="225B56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It should be noted that new methods are and will be developed, such as, but not limited to thermography and shearography, which are not specifically addressed by EN 4179. Until the time this agreed standard is established, such methods should be carried out in accordance with the particular equipment manufacturer’s recommendations including any training and examination process to ensure competence of the personnel in the process.</w:t>
      </w:r>
    </w:p>
    <w:p w14:paraId="25175C8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Any maintenance organisation approved under Part-145 that carries out NDT should establish NDT specialist qualification procedures detailed in the exposition and accepted by the competent authority.</w:t>
      </w:r>
    </w:p>
    <w:p w14:paraId="0C4521B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Boroscoping and other techniques such as delamination coin tapping are non-destructive inspections rather than non-destructive testing. Notwithstanding such differentiation, the maintenance organisation should establish an exposition procedure accepted by the competent authority to ensure that personnel who carry out and interpret such inspections are properly trained and assessed for their competence in the process. Non-destructive inspections, not being considered as NDT by Part-145 are not listed in Appendix II under class rating D1.</w:t>
      </w:r>
    </w:p>
    <w:p w14:paraId="532B940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9.    The referenced standards, methods, training and procedures should be specified in the maintenance organisation exposition.</w:t>
      </w:r>
    </w:p>
    <w:p w14:paraId="49DA472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10.   Any such personnel who intend to carry out and/or control a non-destructive test for which they were not qualified prior to the effective date of Part-145 should qualify for such non- destructive test in accordance with EN 4179.</w:t>
      </w:r>
    </w:p>
    <w:p w14:paraId="55E96E8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11.   In this context officially recognised standard means those standards established or published by an official body whether having legal personality or not, which are widely recognised by the air transport sector as constituting good practice.</w:t>
      </w:r>
    </w:p>
    <w:p w14:paraId="7741069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86" w:name="toc_sec_0035"/>
      <w:bookmarkStart w:id="87" w:name="_Toc241066051"/>
      <w:r w:rsidRPr="00AD3643">
        <w:rPr>
          <w:rFonts w:ascii="Times New Roman" w:hAnsi="Times New Roman" w:cs="Times New Roman"/>
          <w:sz w:val="24"/>
          <w:szCs w:val="24"/>
          <w:lang w:val="en-US"/>
        </w:rPr>
        <w:t>AMC 145.A.30(g) Personnel requirements</w:t>
      </w:r>
      <w:bookmarkEnd w:id="86"/>
      <w:bookmarkEnd w:id="87"/>
    </w:p>
    <w:p w14:paraId="4BCCFA2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For the purposes of 66.A.20(a)(1) and 66.A.20(a)(3)(ii) personnel, minor scheduled line maintenance means any minor scheduled inspection/check up to and including a weekly check specified in the aircraft maintenance programme. For aircraft maintenance programmes that do not specify a weekly check, the competent authority will determine the most significant check that is considered equivalent to a weekly check.</w:t>
      </w:r>
    </w:p>
    <w:p w14:paraId="11A5A19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Typical tasks permitted after appropriate task training to be carried out by the 66.A.20(a)(1) and the 66.A.20(a)(3)(ii) personnel for the purpose of these personnel issuing an aircraft certificate of release to service as specified in 145.A.50 as part of minor scheduled line maintenance or simple defect rectification are contained in the following list:</w:t>
      </w:r>
    </w:p>
    <w:p w14:paraId="1A357F5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Replacement of wheel assemblies.</w:t>
      </w:r>
    </w:p>
    <w:p w14:paraId="11620F4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Replacement of wheel brake units.</w:t>
      </w:r>
    </w:p>
    <w:p w14:paraId="79F01FB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Replacement of emergency equipment.</w:t>
      </w:r>
    </w:p>
    <w:p w14:paraId="0BFE311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(d)   Replacement of ovens, boilers and beverage makers.</w:t>
      </w:r>
    </w:p>
    <w:p w14:paraId="31ADDF0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Replacement of internal and external lights, filaments and flash tubes.</w:t>
      </w:r>
    </w:p>
    <w:p w14:paraId="7652C93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Replacement of windscreen wiper blades.</w:t>
      </w:r>
    </w:p>
    <w:p w14:paraId="60FD43F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Replacement of passenger and cabin crew seats, seat belts and harnesses.</w:t>
      </w:r>
    </w:p>
    <w:p w14:paraId="6F25AC4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Closing of cowlings and refitment of quick access inspection panels.</w:t>
      </w:r>
    </w:p>
    <w:p w14:paraId="1350080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Replacement of toilet system components but excluding gate valves.</w:t>
      </w:r>
    </w:p>
    <w:p w14:paraId="00519AC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(j)   Simple repairs and replacement of internal compartment doors and placards but excluding doors forming part of a pressure structure.</w:t>
      </w:r>
    </w:p>
    <w:p w14:paraId="55ABF67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   Simple repairs and replacement of overhead storage compartment doors and cabin furnishing items.</w:t>
      </w:r>
    </w:p>
    <w:p w14:paraId="411B578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   Replacement of static wicks.</w:t>
      </w:r>
    </w:p>
    <w:p w14:paraId="50FA8B0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   Replacement of aircraft main and APU aircraft batteries.</w:t>
      </w:r>
    </w:p>
    <w:p w14:paraId="36B5287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(n)   Replacement of in-flight entertainment system components other than public address.</w:t>
      </w:r>
    </w:p>
    <w:p w14:paraId="5EDF618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   Routine lubrication and replenishment of all system fluids and gases.</w:t>
      </w:r>
    </w:p>
    <w:p w14:paraId="3AAC9C1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   The de-activation only of sub-systems and aircraft components as permitted by the operator's minimum equipment list where such de-activation is agreed by the competent authority as a simple task.</w:t>
      </w:r>
    </w:p>
    <w:p w14:paraId="0AED968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(q)   Inspection for and removal of de-icing/anti-icing fluid residues, including removal/closure of panels, cowls or covers or the use of special tools.</w:t>
      </w:r>
    </w:p>
    <w:p w14:paraId="57B4369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   Any other task agreed by the competent authority as a simple task for a particular aircraft</w:t>
      </w:r>
    </w:p>
    <w:p w14:paraId="379E591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type. This may include defect deferment when all the following conditions are met:</w:t>
      </w:r>
    </w:p>
    <w:p w14:paraId="50CD210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There is no need for troubleshooting; and</w:t>
      </w:r>
    </w:p>
    <w:p w14:paraId="6878B03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task is in the MEL; and</w:t>
      </w:r>
    </w:p>
    <w:p w14:paraId="790CB09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maintenance action required by the MEL is agreed by the competent authority to be simple. In the particular case of helicopters, and in addition to the items above, the following:</w:t>
      </w:r>
    </w:p>
    <w:p w14:paraId="76DFEB7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   removal and installation of Helicopter Emergency Medical Service (HEMS) simple internal medical equipment.</w:t>
      </w:r>
    </w:p>
    <w:p w14:paraId="075A422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   removal and installation of external cargo provisions (i.e., external hook, mirrors) other than the hoist.</w:t>
      </w:r>
    </w:p>
    <w:p w14:paraId="2CA9868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(u)   removal and installation of quick release external cameras and search lights.</w:t>
      </w:r>
    </w:p>
    <w:p w14:paraId="7E99A14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   removal and installation of emergency float bags, not including the bottles.</w:t>
      </w:r>
    </w:p>
    <w:p w14:paraId="66CD3D9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   removal and installation of external doors fitted with quick release attachments.</w:t>
      </w:r>
    </w:p>
    <w:p w14:paraId="6AC1B6F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(x)   removal and installation of snow pads/skid wear shoes/slump protection pads. No task which requires troubleshooting should be part of the authorised maintenance actions. Release to service after rectification of deferred defects should be permitted as long as the task is listed above.</w:t>
      </w:r>
    </w:p>
    <w:p w14:paraId="24959A3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requirement of having appropriate aircraft-rated certifying staff qualified as category B1, B2, B2L, B3, L, as appropriate, in the case of aircraft line maintenance does not imply that the organisation must have B1, B2, B2L, B3 and L personnel at every line station. The MOE should have a procedure on how to deal with defects requiring those categories of certifying staff.</w:t>
      </w:r>
    </w:p>
    <w:p w14:paraId="1A492FE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4.    The competent authority may accept that in the case of aircraft line maintenance an organisation has only B1, B2, B2L, B3 or L certifying staff, as appropriate, provided that the competent authority is satisfied that the scope of work, as defined in the MOE, does not need the availability of all those categories of certifying staff. Special attention should be taken to clearly limit the scope of scheduled </w:t>
      </w:r>
      <w:r w:rsidRPr="00AD3643">
        <w:rPr>
          <w:rFonts w:ascii="Times New Roman" w:hAnsi="Times New Roman" w:cs="Times New Roman"/>
          <w:sz w:val="24"/>
          <w:szCs w:val="24"/>
          <w:lang w:val="en-US"/>
        </w:rPr>
        <w:lastRenderedPageBreak/>
        <w:t>and non-scheduled line maintenance (defect rectification) to only those tasks that can be certified by the available category of certifying staff.</w:t>
      </w:r>
    </w:p>
    <w:p w14:paraId="04C0870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88" w:name="toc_sec_0036"/>
      <w:bookmarkStart w:id="89" w:name="_Toc241066052"/>
      <w:r w:rsidRPr="00AD3643">
        <w:rPr>
          <w:rFonts w:ascii="Times New Roman" w:hAnsi="Times New Roman" w:cs="Times New Roman"/>
          <w:sz w:val="24"/>
          <w:szCs w:val="24"/>
          <w:lang w:val="en-US"/>
        </w:rPr>
        <w:t>AMC1 145.A.30(h) Personnel requirements</w:t>
      </w:r>
      <w:bookmarkEnd w:id="88"/>
      <w:bookmarkEnd w:id="89"/>
    </w:p>
    <w:p w14:paraId="2A826F0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accordance with points 145.A.30(h) and 145.A.35, the qualification requirements (basic licence,</w:t>
      </w:r>
    </w:p>
    <w:p w14:paraId="68EB5C1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aircraft ratings, recent experience and recurrent training) are identical for certifying staff and for</w:t>
      </w:r>
    </w:p>
    <w:p w14:paraId="2839407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support staff. The only difference is that support staff cannot hold certification privileges when</w:t>
      </w:r>
    </w:p>
    <w:p w14:paraId="376BDC9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performing this role since during base maintenance, the release to service will be issued by category</w:t>
      </w:r>
    </w:p>
    <w:p w14:paraId="3FFA7D4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certifying staff.</w:t>
      </w:r>
    </w:p>
    <w:p w14:paraId="07A3C56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Nevertheless, the organisation may use as support staff (for base maintenance) persons who already</w:t>
      </w:r>
    </w:p>
    <w:p w14:paraId="30D919B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hold certification privileges for line maintenance.</w:t>
      </w:r>
    </w:p>
    <w:p w14:paraId="13BC9A1D"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90" w:name="toc_sec_0037"/>
      <w:bookmarkStart w:id="91" w:name="_Toc241066053"/>
      <w:r w:rsidRPr="00AD3643">
        <w:rPr>
          <w:rFonts w:ascii="Times New Roman" w:hAnsi="Times New Roman" w:cs="Times New Roman"/>
          <w:sz w:val="24"/>
          <w:szCs w:val="24"/>
          <w:lang w:val="en-US"/>
        </w:rPr>
        <w:t>AMC1 145.A.30(j)(4) Personnel requirements</w:t>
      </w:r>
      <w:bookmarkEnd w:id="90"/>
      <w:bookmarkEnd w:id="91"/>
    </w:p>
    <w:p w14:paraId="48979E1F" w14:textId="1730357A" w:rsidR="00E52167" w:rsidRPr="00AD3643" w:rsidRDefault="00E52167" w:rsidP="00AD4AA2">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For the issue of a limited certification authorisation, the pilot should hold either an airline transport pilots licence (ATPL) or a commercial pilot licence (CPL) in accordance with </w:t>
      </w:r>
      <w:r w:rsidR="00AD4AA2" w:rsidRPr="00AD4AA2">
        <w:rPr>
          <w:rFonts w:ascii="Times New Roman" w:hAnsi="Times New Roman" w:cs="Times New Roman"/>
          <w:sz w:val="24"/>
          <w:szCs w:val="24"/>
          <w:lang w:val="en-US"/>
        </w:rPr>
        <w:t>GD 204/2020</w:t>
      </w:r>
      <w:r w:rsidRPr="00AD4AA2">
        <w:rPr>
          <w:rFonts w:ascii="Times New Roman" w:hAnsi="Times New Roman" w:cs="Times New Roman"/>
          <w:sz w:val="24"/>
          <w:szCs w:val="24"/>
          <w:lang w:val="en-US"/>
        </w:rPr>
        <w:t>.</w:t>
      </w:r>
    </w:p>
    <w:p w14:paraId="7B99D9D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In addition, the limited certification authorisation is subject to the MOE containing procedures to address the personnel requirements of point 145.A.30(e). The procedures should be accepted by the competent authority and should include as a minimum:</w:t>
      </w:r>
    </w:p>
    <w:p w14:paraId="5847BB8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completion of adequate continuing airworthiness regulation training as related to maintenance;</w:t>
      </w:r>
    </w:p>
    <w:p w14:paraId="52F194B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completion of adequate task training for the specific task(s) on the aircraft. The task training should be of sufficient duration to ensure that the individual has a thorough understanding of the task(s) to be completed, and that it will involve training in the use of the associated maintenance data;</w:t>
      </w:r>
    </w:p>
    <w:p w14:paraId="18E206B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completion of the procedural training as specified in Part-145.</w:t>
      </w:r>
    </w:p>
    <w:p w14:paraId="32279D9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2.(i) Typical tasks that may be certified and/or carried out by a pilot who holds an ATPL or a CPL are the minor maintenance or simple checks included in the following list:</w:t>
      </w:r>
    </w:p>
    <w:p w14:paraId="34D4F21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Replacement of internal lights, filaments and flash tubes;.</w:t>
      </w:r>
    </w:p>
    <w:p w14:paraId="6858F09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Closing of cowlings and refitment of quick-access inspection panels;.</w:t>
      </w:r>
    </w:p>
    <w:p w14:paraId="3713AC1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Role changes, e.g. stretcher installation, dual controls, FLIR, doors, photographic equipment, etc.</w:t>
      </w:r>
    </w:p>
    <w:p w14:paraId="08BD241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Inspection for, and removal of, de-icing/anti-icing fluid residues, including the removal/closure of panels, cowls or covers that are easily accessible, but that do not require the use of special tools;.</w:t>
      </w:r>
    </w:p>
    <w:p w14:paraId="5B1ED30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Any check/replacement that involves simple techniques that are consistent with this AMC and that have been agreed by the competent authority.</w:t>
      </w:r>
    </w:p>
    <w:p w14:paraId="4893C99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validity of the authorisation should be limited to twelve months, and may be renewed if there has been satisfactory recurrent training on the task(s) for which the pilot holds an authorisation.</w:t>
      </w:r>
    </w:p>
    <w:p w14:paraId="68A9188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92" w:name="toc_sec_0038"/>
      <w:bookmarkStart w:id="93" w:name="_Toc241066054"/>
      <w:r w:rsidRPr="00AD3643">
        <w:rPr>
          <w:rFonts w:ascii="Times New Roman" w:hAnsi="Times New Roman" w:cs="Times New Roman"/>
          <w:sz w:val="24"/>
          <w:szCs w:val="24"/>
          <w:lang w:val="en-US"/>
        </w:rPr>
        <w:t>AMC1 145.A.30(j)(5) Personnel requirements</w:t>
      </w:r>
      <w:bookmarkEnd w:id="92"/>
      <w:bookmarkEnd w:id="93"/>
    </w:p>
    <w:p w14:paraId="3D3EA63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For the purposes of point 145.A.30(j)(5), ‘unforeseen’ means that the grounding of the aircraft could not reasonably have been predicted by the operator because the defect was unexpected, due to it being part of a hitherto reliable system.</w:t>
      </w:r>
    </w:p>
    <w:p w14:paraId="277A62D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    Issuing a one-off authorisation should only be considered under the responsibility of the compliance monitoring manager of the contracted organisation after a reasoned judgement has been </w:t>
      </w:r>
      <w:r w:rsidRPr="00AD3643">
        <w:rPr>
          <w:rFonts w:ascii="Times New Roman" w:hAnsi="Times New Roman" w:cs="Times New Roman"/>
          <w:sz w:val="24"/>
          <w:szCs w:val="24"/>
          <w:lang w:val="en-US"/>
        </w:rPr>
        <w:lastRenderedPageBreak/>
        <w:t>made that such an authorisation is appropriate under the circumstances, while at the same time it maintains the required airworthiness standards. The organisation’s compliance monitoring personnel should assess each situation individually prior to issuing a one-off authorisation, and may request contribution from technical and safety management personnel.</w:t>
      </w:r>
    </w:p>
    <w:p w14:paraId="1D2FB9E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 one-off authorisation should not be issued if the level of certification required could exceed the knowledge and experience level of the person it is issued to. In all cases, due consideration should be given to the complexity of the work involved and the availability of the required tooling and/or test equipment needed to complete the work.</w:t>
      </w:r>
    </w:p>
    <w:p w14:paraId="4AFC02A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94" w:name="toc_sec_0039"/>
      <w:bookmarkStart w:id="95" w:name="_Toc241066055"/>
      <w:r w:rsidRPr="00AD3643">
        <w:rPr>
          <w:rFonts w:ascii="Times New Roman" w:hAnsi="Times New Roman" w:cs="Times New Roman"/>
          <w:sz w:val="24"/>
          <w:szCs w:val="24"/>
          <w:lang w:val="en-US"/>
        </w:rPr>
        <w:t>AMC 145.A.30(j)(5)(i) Personnel requirements</w:t>
      </w:r>
      <w:bookmarkEnd w:id="94"/>
      <w:bookmarkEnd w:id="95"/>
    </w:p>
    <w:p w14:paraId="59EE71E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case it is necessary to issue a one-off certification authorisation to a certifying staff on an aircraft</w:t>
      </w:r>
    </w:p>
    <w:p w14:paraId="2B9433C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type for which he or she does not hold a type-rated authorisation, the following procedure is</w:t>
      </w:r>
    </w:p>
    <w:p w14:paraId="6F9283F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recommended:</w:t>
      </w:r>
    </w:p>
    <w:p w14:paraId="62DCDF6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flight crew should communicate full details of the defect to the maintenance organisation. If necessary, the maintenance organisation will then request the use of a one-off authorisation from the compliance monitoring personnel.</w:t>
      </w:r>
    </w:p>
    <w:p w14:paraId="4E72B83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When issuing a one-off authorisation, the compliance monitoring personnel should verify that:</w:t>
      </w:r>
    </w:p>
    <w:p w14:paraId="2211513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full technical details relating to the work required to be carried out have been established and passed on to the certifying staff;.</w:t>
      </w:r>
    </w:p>
    <w:p w14:paraId="0D64CEB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organisation has an approved procedure in place for coordinating and controlling the total maintenance activity undertaken at the location under the authority of the one-off authorisation;.</w:t>
      </w:r>
    </w:p>
    <w:p w14:paraId="6F5C383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person to whom a one-off authorisation is issued has been provided with all the necessary information and guidance relating to maintenance data, and any special technical instructions associated with the specific task undertaken. A detailed step-by- step worksheet has been defined by the organisation, and has been communicated to the holder of the one-off authorisation;</w:t>
      </w:r>
    </w:p>
    <w:p w14:paraId="3FE5BD7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person holds authorisations of equivalent levels and scopes on other aircraft types that have similar technology, construction and systems.</w:t>
      </w:r>
    </w:p>
    <w:p w14:paraId="6BA1970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holder of the one-off authorisation should sign off the detailed step-by-step worksheet when completing the work steps. The completed tasks should be verified by visual examination</w:t>
      </w:r>
    </w:p>
    <w:p w14:paraId="312CC95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and/or normal system operation upon return to an appropriately approved Part-145 maintenance facility.</w:t>
      </w:r>
    </w:p>
    <w:p w14:paraId="041BB95F" w14:textId="3A77745D" w:rsidR="00E52167" w:rsidRPr="00AD3643" w:rsidRDefault="00E52167" w:rsidP="00C95D06">
      <w:pPr>
        <w:pStyle w:val="Heading2"/>
        <w:spacing w:after="0"/>
        <w:jc w:val="both"/>
        <w:rPr>
          <w:rFonts w:ascii="Times New Roman" w:hAnsi="Times New Roman" w:cs="Times New Roman"/>
          <w:sz w:val="24"/>
          <w:szCs w:val="24"/>
          <w:lang w:val="en-US"/>
        </w:rPr>
      </w:pPr>
      <w:bookmarkStart w:id="96" w:name="toc_sec_0040"/>
      <w:bookmarkStart w:id="97" w:name="_Toc241066056"/>
      <w:r w:rsidRPr="00AD3643">
        <w:rPr>
          <w:rFonts w:ascii="Times New Roman" w:hAnsi="Times New Roman" w:cs="Times New Roman"/>
          <w:sz w:val="24"/>
          <w:szCs w:val="24"/>
          <w:lang w:val="en-US"/>
        </w:rPr>
        <w:t>AMC1 145.A.30(j)(5)(ii) Personnel requirements</w:t>
      </w:r>
      <w:bookmarkEnd w:id="96"/>
      <w:bookmarkEnd w:id="97"/>
    </w:p>
    <w:p w14:paraId="36A320A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Point 145.A.30(j)(5)(ii) addresses the requirements for staff who are not employed by the</w:t>
      </w:r>
    </w:p>
    <w:p w14:paraId="2B28171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organisation, but who meet the requirements of point 145.A.30(j)(5). In addition to the</w:t>
      </w:r>
    </w:p>
    <w:p w14:paraId="3C0A62D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items listed in points 1, 2(a), (b) and (c) and 3 of AMC1 145.A.30(j)(5)(i), the compliance monitoring</w:t>
      </w:r>
    </w:p>
    <w:p w14:paraId="757F70C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personnel of the organisation may issue such a one-off authorisation provided that full details relating</w:t>
      </w:r>
    </w:p>
    <w:p w14:paraId="351680D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 the qualifications of the proposed certifying personnel are verified by the compliance monitoring</w:t>
      </w:r>
    </w:p>
    <w:p w14:paraId="3B59D6B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personnel and made available at the location.</w:t>
      </w:r>
    </w:p>
    <w:p w14:paraId="008F8BDE"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98" w:name="toc_sec_0041"/>
      <w:bookmarkStart w:id="99" w:name="_Toc241066057"/>
      <w:r w:rsidRPr="00AD3643">
        <w:rPr>
          <w:rFonts w:ascii="Times New Roman" w:hAnsi="Times New Roman" w:cs="Times New Roman"/>
          <w:sz w:val="24"/>
          <w:szCs w:val="24"/>
          <w:lang w:val="en-US"/>
        </w:rPr>
        <w:t>AMC 145.A.35(a) Certifying staff and support staff</w:t>
      </w:r>
      <w:bookmarkEnd w:id="98"/>
      <w:bookmarkEnd w:id="99"/>
    </w:p>
    <w:p w14:paraId="6F0FBF7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Holding a Part-66 licence with the relevant type/group rating, or a national qualification in the case of components, does not mean by itself that the holder is qualified to be authorised as certifying </w:t>
      </w:r>
      <w:r w:rsidRPr="00AD3643">
        <w:rPr>
          <w:rFonts w:ascii="Times New Roman" w:hAnsi="Times New Roman" w:cs="Times New Roman"/>
          <w:sz w:val="24"/>
          <w:szCs w:val="24"/>
          <w:lang w:val="en-US"/>
        </w:rPr>
        <w:lastRenderedPageBreak/>
        <w:t>staff and/or support staff. The organisation is responsible for assessing the competency of the holder for the scope of the maintenance to be authorised.</w:t>
      </w:r>
    </w:p>
    <w:p w14:paraId="4A312B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sentence ’the organisation shall ensure that certifying staff and support staff have an adequate understanding of the relevant aircraft and/or components to be maintained together with the associated organisation procedures‘ means that the person has received training and has been successfully assessed on:</w:t>
      </w:r>
    </w:p>
    <w:p w14:paraId="5B5EF26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type of aircraft or component;</w:t>
      </w:r>
    </w:p>
    <w:p w14:paraId="6486C4B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differences on:</w:t>
      </w:r>
    </w:p>
    <w:p w14:paraId="2134A1A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particular model/variant;</w:t>
      </w:r>
    </w:p>
    <w:p w14:paraId="7B29637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particular configuration. The organisation should specifically ensure that the individual competencies have been established with regard to:</w:t>
      </w:r>
    </w:p>
    <w:p w14:paraId="7DD9E57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relevant knowledge, skills and experience in the product type and configuration to be maintained, taking into account the differences between the generic aircraft type rating training that the person received and the specific configuration of the aircraft to be maintained.</w:t>
      </w:r>
    </w:p>
    <w:p w14:paraId="2B44A4E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appropriate attitude towards safety and observance of procedures.</w:t>
      </w:r>
    </w:p>
    <w:p w14:paraId="03760A7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knowledge of the associated organisation and operator procedures (i.e. handling and identification of components, MEL use, Technical Log use, independent checks, etc.).</w:t>
      </w:r>
    </w:p>
    <w:p w14:paraId="627BDF4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Some special maintenance tasks may require additional specific training and experience, including but not limited to:</w:t>
      </w:r>
    </w:p>
    <w:p w14:paraId="453095A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in-depth troubleshooting;</w:t>
      </w:r>
    </w:p>
    <w:p w14:paraId="73EA2E1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very specific adjustment or test procedures;</w:t>
      </w:r>
    </w:p>
    <w:p w14:paraId="79F6FCF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rigging;</w:t>
      </w:r>
    </w:p>
    <w:p w14:paraId="1352D2F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engine run-up, starting and operating the engines, checking engine performance characteristics, normal and emergency engine operation, associated safety precautions and procedures;</w:t>
      </w:r>
    </w:p>
    <w:p w14:paraId="6B741BB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extensive structural/system inspection and repair;</w:t>
      </w:r>
    </w:p>
    <w:p w14:paraId="6058B22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other specialised maintenance required by the maintenance programme. For engine run-up training, simulators and/or real aircraft should be used.</w:t>
      </w:r>
    </w:p>
    <w:p w14:paraId="45B70D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assessment of the competency of the holder should be conducted in accordance with a procedure approved by the competent authority (item 3.9 of the MOE, as described in AMC1 145.A.70(a)).</w:t>
      </w:r>
    </w:p>
    <w:p w14:paraId="1A98916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organisation should hold copies of all the documents that attest to the competency and recent experience of the holder for the period described in point 145.A.55(d)(4).</w:t>
      </w:r>
    </w:p>
    <w:p w14:paraId="6A0F6E9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Additional information is provided in AMC 66.A.20(b)3.</w:t>
      </w:r>
    </w:p>
    <w:p w14:paraId="6D1283F3"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00" w:name="toc_sec_0042"/>
      <w:bookmarkStart w:id="101" w:name="_Toc241066058"/>
      <w:r w:rsidRPr="00AD3643">
        <w:rPr>
          <w:rFonts w:ascii="Times New Roman" w:hAnsi="Times New Roman" w:cs="Times New Roman"/>
          <w:sz w:val="24"/>
          <w:szCs w:val="24"/>
          <w:lang w:val="en-US"/>
        </w:rPr>
        <w:t>AMC 145.A.35(b) Certifying staff and support staff</w:t>
      </w:r>
      <w:bookmarkEnd w:id="100"/>
      <w:bookmarkEnd w:id="101"/>
    </w:p>
    <w:p w14:paraId="5A00C09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organisation issues the certification authorisation when satisfied that compliance has been</w:t>
      </w:r>
    </w:p>
    <w:p w14:paraId="69E9E32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established with the appropriate paragraphs of Part-145 and Part-66. In granting the certification</w:t>
      </w:r>
    </w:p>
    <w:p w14:paraId="4CBB6D9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authorisation the maintenance organisation approved under Part-145 needs to be satisfied that the</w:t>
      </w:r>
    </w:p>
    <w:p w14:paraId="4D68E6D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person holds a valid Part-66 aircraft maintenance licence and may need to confirm such fact with the</w:t>
      </w:r>
    </w:p>
    <w:p w14:paraId="4C6CB8E5" w14:textId="52A00255"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competent authority of the </w:t>
      </w:r>
      <w:r w:rsidR="00A254B0">
        <w:rPr>
          <w:rFonts w:ascii="Times New Roman" w:hAnsi="Times New Roman" w:cs="Times New Roman"/>
          <w:sz w:val="24"/>
          <w:szCs w:val="24"/>
          <w:lang w:val="en-US"/>
        </w:rPr>
        <w:t>s</w:t>
      </w:r>
      <w:r w:rsidRPr="00AD3643">
        <w:rPr>
          <w:rFonts w:ascii="Times New Roman" w:hAnsi="Times New Roman" w:cs="Times New Roman"/>
          <w:sz w:val="24"/>
          <w:szCs w:val="24"/>
          <w:lang w:val="en-US"/>
        </w:rPr>
        <w:t>tate that issued the licence.</w:t>
      </w:r>
    </w:p>
    <w:p w14:paraId="01FE0D8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02" w:name="toc_sec_0043"/>
      <w:bookmarkStart w:id="103" w:name="_Toc241066059"/>
      <w:r w:rsidRPr="00AD3643">
        <w:rPr>
          <w:rFonts w:ascii="Times New Roman" w:hAnsi="Times New Roman" w:cs="Times New Roman"/>
          <w:sz w:val="24"/>
          <w:szCs w:val="24"/>
          <w:lang w:val="en-US"/>
        </w:rPr>
        <w:t>AMC 145.A.35(c) Certifying staff and support staff</w:t>
      </w:r>
      <w:bookmarkEnd w:id="102"/>
      <w:bookmarkEnd w:id="103"/>
    </w:p>
    <w:p w14:paraId="27FBBED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For the interpretation of ‘6 months of actual relevant aircraft maintenance experience in any</w:t>
      </w:r>
    </w:p>
    <w:p w14:paraId="7FD57E2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consecutive 2-year period’, the provisions of AMC 66.A.20(b)2 are applicable.</w:t>
      </w:r>
    </w:p>
    <w:p w14:paraId="3C54E43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04" w:name="toc_sec_0044"/>
      <w:bookmarkStart w:id="105" w:name="_Toc241066060"/>
      <w:r w:rsidRPr="00AD3643">
        <w:rPr>
          <w:rFonts w:ascii="Times New Roman" w:hAnsi="Times New Roman" w:cs="Times New Roman"/>
          <w:sz w:val="24"/>
          <w:szCs w:val="24"/>
          <w:lang w:val="en-US"/>
        </w:rPr>
        <w:t>AMC1 145.A.35(d) Certifying staff and support staff</w:t>
      </w:r>
      <w:bookmarkEnd w:id="104"/>
      <w:bookmarkEnd w:id="105"/>
    </w:p>
    <w:p w14:paraId="3480AAE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Recurrent training is a two-way process to ensure that certifying staff and support staff remain current in terms of the necessary technical knowledge, procedures, and safety management (including human factors), and that the organisation receives feedback on the adequacy of its procedures and maintenance instructions. Due to the interactive nature of this training, consideration should be given to involving the compliance monitoring staff and the key safety management personnel in this training to provide a consistent presence and facilitate feedback. There should be a procedure to ensure that feedback is formally reported by the trainers through the internal safety reporting scheme to initiate action where necessary.</w:t>
      </w:r>
    </w:p>
    <w:p w14:paraId="4729CA8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Recurrent training should cover changes made to the modification standard of the products being maintained, to the relevant requirements such as Part-145, to the organisation’s procedures, safety policy and objectives, as well as human factors and safety issues identified from internal or external analysis of incidents and compliance monitoring results. It should also address instances in which staff failed to follow the procedures, and the reasons why particular</w:t>
      </w:r>
    </w:p>
    <w:p w14:paraId="294B1F4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procedures were not always followed. In many cases, the recurrent training will reinforce the need to follow the procedures and will ensure that incomplete or incorrect procedures are identified to the company so that they can be corrected. It may be necessary to carry out an audit of these procedures.</w:t>
      </w:r>
    </w:p>
    <w:p w14:paraId="41FC44F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Recurrent training should be of sufficient duration in each 2-year period to meet the intent of point 145.A.35(d) and may be split into a number of separate elements. Point 145.A.35(d) requires such a training to keep certifying staff and support staff updated in terms of relevant technology, procedures, safety management and human factors issues which means it is one part of ensuring compliance. Therefore, sufficient duration should be related to relevant audit findings and other internal / external sources of information available to the organisation on human errors and safety issues in maintenance. This means that in the case of an organisation that maintains aircraft with limited relevant audit findings, hazards and related safety risks identified, recurrent training could be limited to days rather than weeks, whereas in the case of a similar organisation with a number of relevant audit findings, hazards and related safety risks identified, such a training may take several weeks. For an organisation that maintains aircraft components, the duration of recurrent training would follow the same philosophy but should be scaled down to reflect the more limited nature of the activity. For example, certifying staff who release hydraulic pumps may only require a few hours of recurrent training, whereas those who release turbine engines may only require a few days of such a training. The content of recurrent training should be related to relevant audit findings, hazards and related safety risks</w:t>
      </w:r>
    </w:p>
    <w:p w14:paraId="05EE342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identified. It is recommended that such training is reviewed at least once in every 24-month period.</w:t>
      </w:r>
    </w:p>
    <w:p w14:paraId="1E52E0F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method of training is intended to be a flexible process, and this training could, for example, be provided by a Part-147 organisation, an aeronautical college, the Part-145 organisation, or another training or maintenance organisation. The elements, general content and length of such training should be specified in the MOE.</w:t>
      </w:r>
    </w:p>
    <w:p w14:paraId="6C8DD4D9"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06" w:name="toc_sec_0045"/>
      <w:bookmarkStart w:id="107" w:name="_Toc241066061"/>
      <w:r w:rsidRPr="00AD3643">
        <w:rPr>
          <w:rFonts w:ascii="Times New Roman" w:hAnsi="Times New Roman" w:cs="Times New Roman"/>
          <w:sz w:val="24"/>
          <w:szCs w:val="24"/>
          <w:lang w:val="en-US"/>
        </w:rPr>
        <w:lastRenderedPageBreak/>
        <w:t>AMC1 145.A.35(e) Certifying staff and support staff</w:t>
      </w:r>
      <w:bookmarkEnd w:id="106"/>
      <w:bookmarkEnd w:id="107"/>
    </w:p>
    <w:p w14:paraId="5671CFD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programme for recurrent training should list all certifying staff and support staff and when the</w:t>
      </w:r>
    </w:p>
    <w:p w14:paraId="673EE8B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training will take place, the elements of such a training, and an indication that it was carried out on</w:t>
      </w:r>
    </w:p>
    <w:p w14:paraId="737248C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time as planned. Such information should subsequently be transferred to the certifying staff and to</w:t>
      </w:r>
    </w:p>
    <w:p w14:paraId="025F297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support staff records as required by point 145.A.55(d)(3).</w:t>
      </w:r>
    </w:p>
    <w:p w14:paraId="17C6FAE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08" w:name="toc_sec_0046"/>
      <w:bookmarkStart w:id="109" w:name="_Toc241066062"/>
      <w:r w:rsidRPr="00AD3643">
        <w:rPr>
          <w:rFonts w:ascii="Times New Roman" w:hAnsi="Times New Roman" w:cs="Times New Roman"/>
          <w:sz w:val="24"/>
          <w:szCs w:val="24"/>
          <w:lang w:val="en-US"/>
        </w:rPr>
        <w:t>AMC1 145.A.35(f) Certifying staff and support staff</w:t>
      </w:r>
      <w:bookmarkEnd w:id="108"/>
      <w:bookmarkEnd w:id="109"/>
    </w:p>
    <w:p w14:paraId="70DDB1F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 stated in point 145.A.35(f), except where any of the unforeseen cases of point 145.A.30(j)(5)</w:t>
      </w:r>
    </w:p>
    <w:p w14:paraId="04027E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applies, all prospective certifying staff and support staff should be assessed for their competency</w:t>
      </w:r>
    </w:p>
    <w:p w14:paraId="6EB9AA2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related to their intended duties. Said assessment should be conducted in accordance with AMC 1, 2,</w:t>
      </w:r>
    </w:p>
    <w:p w14:paraId="63C1E36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4 and 5 to point 145.A.30(e), as applicable.</w:t>
      </w:r>
    </w:p>
    <w:p w14:paraId="203EA23E"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10" w:name="toc_sec_0047"/>
      <w:bookmarkStart w:id="111" w:name="_Toc241066063"/>
      <w:r w:rsidRPr="00AD3643">
        <w:rPr>
          <w:rFonts w:ascii="Times New Roman" w:hAnsi="Times New Roman" w:cs="Times New Roman"/>
          <w:sz w:val="24"/>
          <w:szCs w:val="24"/>
          <w:lang w:val="en-US"/>
        </w:rPr>
        <w:t>AMC1 145.A.35(m) Certifying staff and support staff</w:t>
      </w:r>
      <w:bookmarkEnd w:id="110"/>
      <w:bookmarkEnd w:id="111"/>
    </w:p>
    <w:p w14:paraId="260EC0F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It is the responsibility of the Part-145 organisation issuing the category A certifying staff authorisation to ensure that the task training received by this person covers all the tasks to be</w:t>
      </w:r>
    </w:p>
    <w:p w14:paraId="1F0C706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authorised. This is particularly important in those cases where the task training has been</w:t>
      </w:r>
    </w:p>
    <w:p w14:paraId="3B42237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provided by a Part-147 organisation or by a Part-145 organisation different from the one issuing the authorisation.</w:t>
      </w:r>
    </w:p>
    <w:p w14:paraId="7357A7E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‘Appropriately approved in accordance with Annex IV (Part-147)’ means an organisation holding an approval to provide category A task training for the corresponding aircraft type.</w:t>
      </w:r>
    </w:p>
    <w:p w14:paraId="04D2408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‘Appropriately approved in accordance with Annex II (Part-145)’ means an organisation holding a maintenance organisation approval for the corresponding aircraft type.</w:t>
      </w:r>
    </w:p>
    <w:p w14:paraId="110290FA"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12" w:name="toc_sec_0048"/>
      <w:bookmarkStart w:id="113" w:name="_Toc241066064"/>
      <w:r w:rsidRPr="00AD3643">
        <w:rPr>
          <w:rFonts w:ascii="Times New Roman" w:hAnsi="Times New Roman" w:cs="Times New Roman"/>
          <w:sz w:val="24"/>
          <w:szCs w:val="24"/>
          <w:lang w:val="en-US"/>
        </w:rPr>
        <w:t>AMC1 145.A.35(n) Certifying staff and support staff</w:t>
      </w:r>
      <w:bookmarkEnd w:id="112"/>
      <w:bookmarkEnd w:id="113"/>
    </w:p>
    <w:p w14:paraId="2089C8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privilege for a B2 licence holder to release minor scheduled line maintenance and simple defect rectification in accordance with 66.A.20(a)(3)(ii) can only be granted by the Part-145 approved organisation where the licence holder is employed/contracted after meeting all the requirements specified in 145.A.35(o). This privilege cannot be transferred to another Part-145 approved organisation.</w:t>
      </w:r>
    </w:p>
    <w:p w14:paraId="60E2B6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When a B2 licence holder already holds a certifying staff authorisation containing minor scheduled line maintenance and simple defect rectification for a particular aircraft type, new tasks relevant to category A can be added to that type without requiring another 6 months of</w:t>
      </w:r>
    </w:p>
    <w:p w14:paraId="74853F2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experience. However, task training (theoretical plus practical hands-on) and examination/assessment for these additional tasks is still required.</w:t>
      </w:r>
    </w:p>
    <w:p w14:paraId="36D41D3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When the certifying staff authorisation intends to cover several aircraft types, the experience may be combined within a single 6-month period.</w:t>
      </w:r>
    </w:p>
    <w:p w14:paraId="0270EE3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For the addition of new types to the certifying staff authorisation, another 6 months should be required unless the aircraft is considered similar per AMC 66.A.20(b)2 to the one already held.</w:t>
      </w:r>
    </w:p>
    <w:p w14:paraId="416E9E4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term ‘6 months of experience’ may include full-time employment or part-time employment. The important aspect is that the person has been involved during a period of 6 months (not necessarily every day) in those tasks which are going to be part of the authorisation.</w:t>
      </w:r>
    </w:p>
    <w:p w14:paraId="4BBAC06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14" w:name="toc_sec_0049"/>
      <w:bookmarkStart w:id="115" w:name="_Toc241066065"/>
      <w:r w:rsidRPr="00AD3643">
        <w:rPr>
          <w:rFonts w:ascii="Times New Roman" w:hAnsi="Times New Roman" w:cs="Times New Roman"/>
          <w:sz w:val="24"/>
          <w:szCs w:val="24"/>
          <w:lang w:val="en-US"/>
        </w:rPr>
        <w:lastRenderedPageBreak/>
        <w:t>AMC1 145.A.37 Airworthiness review staff</w:t>
      </w:r>
      <w:bookmarkEnd w:id="114"/>
      <w:bookmarkEnd w:id="115"/>
    </w:p>
    <w:p w14:paraId="53A9F0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‘Experience in continuing airworthiness’ in 145.A.37(a)(1) refers to any appropriate combination of experience in tasks related to aircraft maintenance and/or continuing airworthiness management and/or surveillance of such tasks.</w:t>
      </w:r>
    </w:p>
    <w:p w14:paraId="3985FAE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‘Appropriate recent continuing airworthiness experience’ in 145.A.37(c) refers to the fact that in order to keep the validity of the airworthiness review staff authorisation, the airworthiness review staff should have either:</w:t>
      </w:r>
    </w:p>
    <w:p w14:paraId="63F71AC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been involved in continuing airworthiness management activities for at least 6 months in every 2-year period; or</w:t>
      </w:r>
    </w:p>
    <w:p w14:paraId="19CB1A3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conducted at least one airworthiness review in the last 12-month period.</w:t>
      </w:r>
    </w:p>
    <w:p w14:paraId="1FBA56C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In order to restore the validity of the authorisation, the airworthiness review staff should conduct at a satisfactory level an airworthiness review under the supervision of the competent authority or, if accepted by the competent authority, under the supervision of another currently authorised airworthiness review staff of the organisation concerned in accordance with an approved procedure.</w:t>
      </w:r>
    </w:p>
    <w:p w14:paraId="4A9ECD41"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16" w:name="toc_sec_0050"/>
      <w:bookmarkStart w:id="117" w:name="_Toc241066066"/>
      <w:r w:rsidRPr="00AD3643">
        <w:rPr>
          <w:rFonts w:ascii="Times New Roman" w:hAnsi="Times New Roman" w:cs="Times New Roman"/>
          <w:sz w:val="24"/>
          <w:szCs w:val="24"/>
          <w:lang w:val="en-US"/>
        </w:rPr>
        <w:t>GM1 145.A.37(b) Airworthiness review staff</w:t>
      </w:r>
      <w:bookmarkEnd w:id="116"/>
      <w:bookmarkEnd w:id="117"/>
    </w:p>
    <w:p w14:paraId="14DBD74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ACCEPTANCE AND AUTHORISATION OF AIRWORTHINESS REVIEW STAFF (ARS)</w:t>
      </w:r>
    </w:p>
    <w:p w14:paraId="50DE3B5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process of acceptance and authorisation of a new ARS within a Part-145 organisation includes the</w:t>
      </w:r>
    </w:p>
    <w:p w14:paraId="7897918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following steps (the order of certain steps may vary):</w:t>
      </w:r>
    </w:p>
    <w:p w14:paraId="69B7043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organisation verifies the compliance of the candidate ARS with point 145.A.37(a);</w:t>
      </w:r>
    </w:p>
    <w:p w14:paraId="2D28BA5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candidate ARS is assessed while performing an airworthiness review (AR) under supervision (supervision by the competent authority or supervision by an ARS already authorised by the</w:t>
      </w:r>
    </w:p>
    <w:p w14:paraId="0E80B28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organisation) (145.A.37(b));</w:t>
      </w:r>
    </w:p>
    <w:p w14:paraId="7A4ED87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organisation submits an application for change (requiring prior approval) to the competent authority (ref. 145.A.85) together with the proposed amendment to the MOE (candidate ARS introduced in the list of ARS — ref. 145.A.70(a)(6));</w:t>
      </w:r>
    </w:p>
    <w:p w14:paraId="3DD30FC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Based on the results of the AR and its supervision, the competent authority accepts the candidate (regardless of whether the supervision was done by the competent authority or by the organisation);</w:t>
      </w:r>
    </w:p>
    <w:p w14:paraId="6510B76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competent authority approves the MOE;</w:t>
      </w:r>
    </w:p>
    <w:p w14:paraId="4D59E00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organisation issues the AR authorisation to the ARS.</w:t>
      </w:r>
    </w:p>
    <w:p w14:paraId="0BF39FE5"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18" w:name="toc_sec_0051"/>
      <w:bookmarkStart w:id="119" w:name="_Toc241066067"/>
      <w:r w:rsidRPr="00AD3643">
        <w:rPr>
          <w:rFonts w:ascii="Times New Roman" w:hAnsi="Times New Roman" w:cs="Times New Roman"/>
          <w:sz w:val="24"/>
          <w:szCs w:val="24"/>
          <w:lang w:val="en-US"/>
        </w:rPr>
        <w:t>AMC 145.A.40(a) Equipment and tools</w:t>
      </w:r>
      <w:bookmarkEnd w:id="118"/>
      <w:bookmarkEnd w:id="119"/>
    </w:p>
    <w:p w14:paraId="568910C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Once the applicant for approval has determined the intended scope of work for consideration by the</w:t>
      </w:r>
    </w:p>
    <w:p w14:paraId="635508F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competent authority, it will be necessary to show that all tools and equipment as specified in the</w:t>
      </w:r>
    </w:p>
    <w:p w14:paraId="5045DCC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data can be made available when needed. All such tools and equipment that require to</w:t>
      </w:r>
    </w:p>
    <w:p w14:paraId="23345B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be controlled in terms of servicing or calibration by virtue of being necessary to measure specified</w:t>
      </w:r>
    </w:p>
    <w:p w14:paraId="2AABB09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dimensions and torque figures, etc., should be clearly identified and listed in a control register</w:t>
      </w:r>
    </w:p>
    <w:p w14:paraId="17A3465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including any personal tools and equipment that the organisation agrees can be used.</w:t>
      </w:r>
    </w:p>
    <w:p w14:paraId="6DCD2548"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20" w:name="toc_sec_0052"/>
      <w:bookmarkStart w:id="121" w:name="_Toc241066068"/>
      <w:r w:rsidRPr="00AD3643">
        <w:rPr>
          <w:rFonts w:ascii="Times New Roman" w:hAnsi="Times New Roman" w:cs="Times New Roman"/>
          <w:sz w:val="24"/>
          <w:szCs w:val="24"/>
          <w:lang w:val="en-US"/>
        </w:rPr>
        <w:t>AMC 145.A.40(b) Equipment and tools</w:t>
      </w:r>
      <w:bookmarkEnd w:id="120"/>
      <w:bookmarkEnd w:id="121"/>
    </w:p>
    <w:p w14:paraId="3B24A36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The control of these tools and equipment requires that the organisation has a procedure to inspect/service and, where appropriate, calibrate such items on a regular basis and indicate to users </w:t>
      </w:r>
      <w:r w:rsidRPr="00AD3643">
        <w:rPr>
          <w:rFonts w:ascii="Times New Roman" w:hAnsi="Times New Roman" w:cs="Times New Roman"/>
          <w:sz w:val="24"/>
          <w:szCs w:val="24"/>
          <w:lang w:val="en-US"/>
        </w:rPr>
        <w:lastRenderedPageBreak/>
        <w:t>that the item is within any inspection or service or calibration time-limit. A clear system of labelling all tooling, equipment and test equipment is therefore necessary giving information on when the next inspection or service or calibration is due and if the item is unserviceable for any other reason where it may not be obvious. A register should be maintained for all precision tooling and equipment together with a record of calibrations and standards used.</w:t>
      </w:r>
    </w:p>
    <w:p w14:paraId="079CD6A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Inspection, service or calibration on a regular basis should be in accordance with the equipment manufacturers' instructions except where the organisation can show by results that a different time period is appropriate in a particular case.</w:t>
      </w:r>
    </w:p>
    <w:p w14:paraId="26E25A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In this context officially recognised standard means those standards established or published by an official body whether having legal personality or not, which are widely recognised by the air transport sector as constituting good practice.</w:t>
      </w:r>
    </w:p>
    <w:p w14:paraId="54B4823B" w14:textId="77777777" w:rsidR="00E52167" w:rsidRPr="00C3110B" w:rsidRDefault="00E52167" w:rsidP="00C95D06">
      <w:pPr>
        <w:pStyle w:val="Heading2"/>
        <w:spacing w:after="0"/>
        <w:jc w:val="both"/>
        <w:rPr>
          <w:rFonts w:ascii="Times New Roman" w:hAnsi="Times New Roman" w:cs="Times New Roman"/>
          <w:sz w:val="24"/>
          <w:szCs w:val="24"/>
          <w:lang w:val="en-US"/>
        </w:rPr>
      </w:pPr>
      <w:bookmarkStart w:id="122" w:name="toc_sec_0053"/>
      <w:bookmarkStart w:id="123" w:name="_Toc241066069"/>
      <w:r w:rsidRPr="00C3110B">
        <w:rPr>
          <w:rFonts w:ascii="Times New Roman" w:hAnsi="Times New Roman" w:cs="Times New Roman"/>
          <w:sz w:val="24"/>
          <w:szCs w:val="24"/>
          <w:lang w:val="en-US"/>
        </w:rPr>
        <w:t>AMC1 145.A.42(a)(i) Components</w:t>
      </w:r>
      <w:bookmarkEnd w:id="122"/>
      <w:bookmarkEnd w:id="123"/>
    </w:p>
    <w:p w14:paraId="7153E72C" w14:textId="2B82BE4B" w:rsidR="00E52167" w:rsidRPr="00AD3643" w:rsidRDefault="00C95D06" w:rsidP="00C95D06">
      <w:pPr>
        <w:pStyle w:val="Heading31"/>
        <w:spacing w:before="60" w:after="0"/>
        <w:jc w:val="both"/>
        <w:rPr>
          <w:rFonts w:cs="Times New Roman"/>
          <w:sz w:val="24"/>
          <w:szCs w:val="24"/>
        </w:rPr>
      </w:pPr>
      <w:r>
        <w:rPr>
          <w:rFonts w:cs="Times New Roman"/>
          <w:sz w:val="24"/>
          <w:szCs w:val="24"/>
        </w:rPr>
        <w:t>CAA</w:t>
      </w:r>
      <w:r w:rsidR="00E52167" w:rsidRPr="00AD3643">
        <w:rPr>
          <w:rFonts w:cs="Times New Roman"/>
          <w:sz w:val="24"/>
          <w:szCs w:val="24"/>
        </w:rPr>
        <w:t xml:space="preserve"> FORM 1 OR EQUIVALENT</w:t>
      </w:r>
    </w:p>
    <w:p w14:paraId="3AD875ED" w14:textId="74A10F45"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 document equivalent to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may be:</w:t>
      </w:r>
    </w:p>
    <w:p w14:paraId="1D30D12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a release document issued by an organisation under the terms of a bilateral agreement signed by the European Union;</w:t>
      </w:r>
    </w:p>
    <w:p w14:paraId="74D486A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 release document issued by an organisation approved under the terms of a JAA bilateral agreement until superseded by the corresponding agreement signed by the European Union;</w:t>
      </w:r>
    </w:p>
    <w:p w14:paraId="183EAB6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 JAA Form One issued prior to 28 November 2004 by a JAR 145 organisation approved by a JAA Full Member State;</w:t>
      </w:r>
    </w:p>
    <w:p w14:paraId="3743710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in the case of new aircraft components that were released from manufacturing prior to the Part 21 compliance date, the component should be accompanied by a JAA Form One issued by a JAR 21 organisation approved by a JAA Full Member State and within the JAA mutual recognition system;</w:t>
      </w:r>
    </w:p>
    <w:p w14:paraId="3154F49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 JAA Form One issued prior to 28 September 2005 by a production organisation approved by a competent authority in accordance with its national regulations.</w:t>
      </w:r>
    </w:p>
    <w:p w14:paraId="2338EC4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a ‘declaration of maintenance accomplished’ issued by the person or organisation that performed the maintenance, as specified in point M.A.502(e) or in point ML.A.502(c).</w:t>
      </w:r>
    </w:p>
    <w:p w14:paraId="59CE017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24" w:name="toc_sec_0054"/>
      <w:bookmarkStart w:id="125" w:name="_Toc241066070"/>
      <w:r w:rsidRPr="00AD3643">
        <w:rPr>
          <w:rFonts w:ascii="Times New Roman" w:hAnsi="Times New Roman" w:cs="Times New Roman"/>
          <w:sz w:val="24"/>
          <w:szCs w:val="24"/>
          <w:lang w:val="en-US"/>
        </w:rPr>
        <w:t>GM1 145.A.42(a)(i) Components</w:t>
      </w:r>
      <w:bookmarkEnd w:id="124"/>
      <w:bookmarkEnd w:id="125"/>
    </w:p>
    <w:p w14:paraId="60C3788A" w14:textId="0EF4FB2E"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Point 21.A.307(b) of Annex I (Part 21) and point 21L.A.193(b) of Annex Ib (Part 21 Light) to </w:t>
      </w:r>
      <w:r w:rsidR="00960DB4">
        <w:rPr>
          <w:rFonts w:ascii="Times New Roman" w:hAnsi="Times New Roman" w:cs="Times New Roman"/>
          <w:sz w:val="24"/>
          <w:szCs w:val="24"/>
          <w:lang w:val="en-US"/>
        </w:rPr>
        <w:t xml:space="preserve">GD 91/2024 </w:t>
      </w:r>
      <w:r w:rsidRPr="00AD3643">
        <w:rPr>
          <w:rFonts w:ascii="Times New Roman" w:hAnsi="Times New Roman" w:cs="Times New Roman"/>
          <w:sz w:val="24"/>
          <w:szCs w:val="24"/>
          <w:lang w:val="en-US"/>
        </w:rPr>
        <w:t xml:space="preserve"> specify the new components that do not need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or equivalent to be</w:t>
      </w:r>
    </w:p>
    <w:p w14:paraId="46244F75" w14:textId="3F5C8A96"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eligible for installation. Point 21.A.307(c) of Annex I and point 21L.A.193(c) of Annex Ib to </w:t>
      </w:r>
      <w:r w:rsidR="00960DB4">
        <w:rPr>
          <w:rFonts w:ascii="Times New Roman" w:hAnsi="Times New Roman" w:cs="Times New Roman"/>
          <w:sz w:val="24"/>
          <w:szCs w:val="24"/>
          <w:lang w:val="en-US"/>
        </w:rPr>
        <w:t>GD 91/2024</w:t>
      </w:r>
      <w:r w:rsidRPr="00AD3643">
        <w:rPr>
          <w:rFonts w:ascii="Times New Roman" w:hAnsi="Times New Roman" w:cs="Times New Roman"/>
          <w:sz w:val="24"/>
          <w:szCs w:val="24"/>
          <w:lang w:val="en-US"/>
        </w:rPr>
        <w:t xml:space="preserve"> specify the conditions for the document accompanying the component.</w:t>
      </w:r>
    </w:p>
    <w:p w14:paraId="7A09250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26" w:name="toc_sec_0055"/>
      <w:bookmarkStart w:id="127" w:name="_Toc241066071"/>
      <w:r w:rsidRPr="00AD3643">
        <w:rPr>
          <w:rFonts w:ascii="Times New Roman" w:hAnsi="Times New Roman" w:cs="Times New Roman"/>
          <w:sz w:val="24"/>
          <w:szCs w:val="24"/>
          <w:lang w:val="en-US"/>
        </w:rPr>
        <w:t>AMC1 145.A.42(a)(ii) Components</w:t>
      </w:r>
      <w:bookmarkEnd w:id="126"/>
      <w:bookmarkEnd w:id="127"/>
    </w:p>
    <w:p w14:paraId="07DCBA32"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UNSERVICEABLE COMPONENTS</w:t>
      </w:r>
    </w:p>
    <w:p w14:paraId="39DFC09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   The organisation should ensure the proper identification of any unserviceable components. The unserviceable status of the component should be clearly declared on a tag together with the component identification data and any information that is useful to define actions that are necessary to be taken. Such information should state, as applicable, in-service times, maintenance status, preservation status, failures, defects or malfunctions reported or detected, exposure to adverse environmental conditions, and whether the component is installed on an aircraft that was involved in </w:t>
      </w:r>
      <w:r w:rsidRPr="00AD3643">
        <w:rPr>
          <w:rFonts w:ascii="Times New Roman" w:hAnsi="Times New Roman" w:cs="Times New Roman"/>
          <w:sz w:val="24"/>
          <w:szCs w:val="24"/>
          <w:lang w:val="en-US"/>
        </w:rPr>
        <w:lastRenderedPageBreak/>
        <w:t>an accident or incident. Means should be provided to prevent unintentional separation of this tag from the component.</w:t>
      </w:r>
    </w:p>
    <w:p w14:paraId="57EB618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Unserviceable components should typically undergo maintenance due to:</w:t>
      </w:r>
    </w:p>
    <w:p w14:paraId="7C0A471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expiry of the service life limit as defined in the aircraft maintenance programme;</w:t>
      </w:r>
    </w:p>
    <w:p w14:paraId="3157557E" w14:textId="5125DC1E"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    non-compliance with the applicable airworthiness directives and other continuing airworthiness requirements mandated by the </w:t>
      </w:r>
      <w:r w:rsidR="005146D8">
        <w:rPr>
          <w:rFonts w:ascii="Times New Roman" w:hAnsi="Times New Roman" w:cs="Times New Roman"/>
          <w:sz w:val="24"/>
          <w:szCs w:val="24"/>
          <w:lang w:val="en-US"/>
        </w:rPr>
        <w:t xml:space="preserve">CAA </w:t>
      </w:r>
      <w:r w:rsidRPr="00AD3643">
        <w:rPr>
          <w:rFonts w:ascii="Times New Roman" w:hAnsi="Times New Roman" w:cs="Times New Roman"/>
          <w:sz w:val="24"/>
          <w:szCs w:val="24"/>
          <w:lang w:val="en-US"/>
        </w:rPr>
        <w:t>;</w:t>
      </w:r>
    </w:p>
    <w:p w14:paraId="7E77858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absence of the necessary information to determine the airworthiness status or eligibility for installation;</w:t>
      </w:r>
    </w:p>
    <w:p w14:paraId="4A4AAC8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evidence of defects or malfunctions; or</w:t>
      </w:r>
    </w:p>
    <w:p w14:paraId="2DCA06F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being installed on an aircraft that was involved in an incident or accident likely to affect the component’s serviceability.</w:t>
      </w:r>
    </w:p>
    <w:p w14:paraId="3A7A33F5"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28" w:name="toc_sec_0056"/>
      <w:bookmarkStart w:id="129" w:name="_Toc241066072"/>
      <w:r w:rsidRPr="00AD3643">
        <w:rPr>
          <w:rFonts w:ascii="Times New Roman" w:hAnsi="Times New Roman" w:cs="Times New Roman"/>
          <w:sz w:val="24"/>
          <w:szCs w:val="24"/>
          <w:lang w:val="en-US"/>
        </w:rPr>
        <w:t>AMC1 145.A.42(a)(iii) Components</w:t>
      </w:r>
      <w:bookmarkEnd w:id="128"/>
      <w:bookmarkEnd w:id="129"/>
    </w:p>
    <w:p w14:paraId="04615F9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UNSALVAGEABLE COMPONENTS</w:t>
      </w:r>
    </w:p>
    <w:p w14:paraId="269C62B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following types of components should typically be classified as unsalvageable:</w:t>
      </w:r>
    </w:p>
    <w:p w14:paraId="5884F2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components with non-repairable defects, whether visible or not to the naked eye;</w:t>
      </w:r>
    </w:p>
    <w:p w14:paraId="7F62C1B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components that do not meet design specifications, and cannot be brought into conformity with such specifications;</w:t>
      </w:r>
    </w:p>
    <w:p w14:paraId="0AAF5CC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components subjected to unacceptable modification or rework that is irreversible;</w:t>
      </w:r>
    </w:p>
    <w:p w14:paraId="048643F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parts with mandatory life limitations that have reached or exceeded these limitations, or have missing or incomplete records;</w:t>
      </w:r>
    </w:p>
    <w:p w14:paraId="2DE9104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components whose airworthy condition cannot be restored due to exposure to extreme forces, heat or adverse environmental conditions;</w:t>
      </w:r>
    </w:p>
    <w:p w14:paraId="61222F3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components for which conformity with an applicable airworthiness directive cannot be accomplished;</w:t>
      </w:r>
    </w:p>
    <w:p w14:paraId="777A060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components for which maintenance records and/or traceability to the manufacturer cannot be retrieved.</w:t>
      </w:r>
    </w:p>
    <w:p w14:paraId="1F462B7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30" w:name="toc_sec_0057"/>
      <w:bookmarkStart w:id="131" w:name="_Toc241066073"/>
      <w:r w:rsidRPr="00AD3643">
        <w:rPr>
          <w:rFonts w:ascii="Times New Roman" w:hAnsi="Times New Roman" w:cs="Times New Roman"/>
          <w:sz w:val="24"/>
          <w:szCs w:val="24"/>
          <w:lang w:val="en-US"/>
        </w:rPr>
        <w:t>AMC1 145.A.42(a)(iv) Components</w:t>
      </w:r>
      <w:bookmarkEnd w:id="130"/>
      <w:bookmarkEnd w:id="131"/>
    </w:p>
    <w:p w14:paraId="6CBF2E0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STANDARD PARTS</w:t>
      </w:r>
    </w:p>
    <w:p w14:paraId="7D5519DA" w14:textId="78164798"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Standard parts are parts that are manufactured in complete compliance with an established industry,</w:t>
      </w:r>
      <w:r w:rsidR="0069461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competent authority or other government specification which includes design, manufacturing, test and acceptance criteria, and uniform identification requirements. The specification should include all the information that is necessary to produce and verify conformity of the part. It should be published so that any party may manufacture the part. Examples of specifications are National Aerospace Standards (NAS), Army-Navy Aeronautical Standard (AN), Society of Automotive Engineers (SAE), SAE Sematec, Joint Electron Device Engineering Council, Joint Electron Tube Engineering Council, and American National Standards Institute (ANSI), EN Specifications, etc.</w:t>
      </w:r>
    </w:p>
    <w:p w14:paraId="44CDCE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   To designate a part as a standard part, the TC holder or the declarant of a declaration of design compliance may issue a standard parts manual accepted by the competent authority of the original TC holder, or the declarant of a declaration of design compliance, or may make reference in the parts catalogue to the specification to be met by the standard part. Documentation that accompanies </w:t>
      </w:r>
      <w:r w:rsidRPr="00AD3643">
        <w:rPr>
          <w:rFonts w:ascii="Times New Roman" w:hAnsi="Times New Roman" w:cs="Times New Roman"/>
          <w:sz w:val="24"/>
          <w:szCs w:val="24"/>
          <w:lang w:val="en-US"/>
        </w:rPr>
        <w:lastRenderedPageBreak/>
        <w:t>standard parts should clearly relate to the particular parts and contain a conformity statement plus both the manufacturing and supplier source. Some materials are subject to special conditions, such as storage conditions or life limitation, etc., and this should be included in the documentation and/or the material’s packaging.</w:t>
      </w:r>
    </w:p>
    <w:p w14:paraId="267D023B" w14:textId="3B8E63A4"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or equivalent is not normally issued and, therefore, none should be expected.</w:t>
      </w:r>
    </w:p>
    <w:p w14:paraId="24CB620F"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32" w:name="toc_sec_0058"/>
      <w:bookmarkStart w:id="133" w:name="_Toc241066074"/>
      <w:r w:rsidRPr="00AD3643">
        <w:rPr>
          <w:rFonts w:ascii="Times New Roman" w:hAnsi="Times New Roman" w:cs="Times New Roman"/>
          <w:sz w:val="24"/>
          <w:szCs w:val="24"/>
          <w:lang w:val="en-US"/>
        </w:rPr>
        <w:t>AMC2 145.A.42(a)(iv) Components</w:t>
      </w:r>
      <w:bookmarkEnd w:id="132"/>
      <w:bookmarkEnd w:id="133"/>
    </w:p>
    <w:p w14:paraId="53239448"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STANDARD PARTS</w:t>
      </w:r>
    </w:p>
    <w:p w14:paraId="16FC7B0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For sailplanes and powered sailplanes, non-required instruments and/or equipment that are certified</w:t>
      </w:r>
    </w:p>
    <w:p w14:paraId="6F08927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 declared (in accordance with Part 21 Light Subpart C) under CS 22.1301(b), if those instruments or</w:t>
      </w:r>
    </w:p>
    <w:p w14:paraId="36E7875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equipment, when installed, functioning, functioning improperly or not functioning at all, do not in</w:t>
      </w:r>
    </w:p>
    <w:p w14:paraId="6B3F0F2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themselves, or by their effect upon the sailplane and its operation, constitute a safety hazard.</w:t>
      </w:r>
    </w:p>
    <w:p w14:paraId="6D355E7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‘Required’ in the term ‘non-required’, as used above, means required by the applicable airworthiness</w:t>
      </w:r>
    </w:p>
    <w:p w14:paraId="5C5C1766" w14:textId="5571C3E1"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code (CS 22.1303, 22.1305 and 22.1307) or required by the relevant regulations for air operations and</w:t>
      </w:r>
      <w:r w:rsidR="005146D8">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the applicable Rules of the Air or as required by air traffic management (e.g. a transponder in certain</w:t>
      </w:r>
    </w:p>
    <w:p w14:paraId="53FA83D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controlled airspace). Examples of non-required equipment which can be considered to be standard</w:t>
      </w:r>
    </w:p>
    <w:p w14:paraId="4C9FA1A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parts may be electrical variometers, bank/slip indicators ball-type, total energy probes, capacity</w:t>
      </w:r>
    </w:p>
    <w:p w14:paraId="2309240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bottles    (for    variometers),     final   glide     calculators,  navigation     computers,    data</w:t>
      </w:r>
    </w:p>
    <w:p w14:paraId="30B8591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logger/barograph/turnpoint camera, bug-wipers and anti-collision systems. Equipment which must be</w:t>
      </w:r>
    </w:p>
    <w:p w14:paraId="2B3EAFC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approved in accordance with the airworthiness code shall comply with the applicable ETSO or</w:t>
      </w:r>
    </w:p>
    <w:p w14:paraId="1EEB53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equivalent and it is not considered to be a standard part (e.g. oxygen equipment).</w:t>
      </w:r>
    </w:p>
    <w:p w14:paraId="44F3AFD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34" w:name="toc_sec_0059"/>
      <w:bookmarkStart w:id="135" w:name="_Toc241066075"/>
      <w:r w:rsidRPr="00AD3643">
        <w:rPr>
          <w:rFonts w:ascii="Times New Roman" w:hAnsi="Times New Roman" w:cs="Times New Roman"/>
          <w:sz w:val="24"/>
          <w:szCs w:val="24"/>
          <w:lang w:val="en-US"/>
        </w:rPr>
        <w:t>AMC1 145.A.42(a)(v) Components</w:t>
      </w:r>
      <w:bookmarkEnd w:id="134"/>
      <w:bookmarkEnd w:id="135"/>
    </w:p>
    <w:p w14:paraId="1D15137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MATERIAL</w:t>
      </w:r>
    </w:p>
    <w:p w14:paraId="4C98DF0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Consumable material is any material which is only used once, such as lubricants, cements, compounds, paints, chemical dyes and sealants, etc.</w:t>
      </w:r>
    </w:p>
    <w:p w14:paraId="1FB1C44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Raw material is any material that requires further work to make it into a component part of the aircraft, such as metal, plastic, wood, fabric, etc.</w:t>
      </w:r>
    </w:p>
    <w:p w14:paraId="01C28C8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Material both raw and consumable should only be accepted when satisfied that it is to the required specification. To be satisfied, the material and/or its packaging should be marked with the applicable specification and, where appropriate, the batch number.</w:t>
      </w:r>
    </w:p>
    <w:p w14:paraId="1F955F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Documentation that accompanies all materials should clearly relate to the particular material and contain a conformity statement plus both the manufacturing and supplier source. Some materials are subject to special conditions, such as storage conditions or life limitation, etc., and this should be included in the documentation and/or the material’s packaging.</w:t>
      </w:r>
    </w:p>
    <w:p w14:paraId="407B7ACC" w14:textId="7C610678"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(e)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or equivalent should not be issued for such materials and, therefore, none should be expected. The material specification is normally identified in the data issued by the (S)TC holder or the declarant of a declaration of design compliance except in the case where the competent authority has agreed otherwise.</w:t>
      </w:r>
    </w:p>
    <w:p w14:paraId="5C22C18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36" w:name="toc_sec_0060"/>
      <w:bookmarkStart w:id="137" w:name="_Toc241066076"/>
      <w:r w:rsidRPr="00AD3643">
        <w:rPr>
          <w:rFonts w:ascii="Times New Roman" w:hAnsi="Times New Roman" w:cs="Times New Roman"/>
          <w:sz w:val="24"/>
          <w:szCs w:val="24"/>
          <w:lang w:val="en-US"/>
        </w:rPr>
        <w:lastRenderedPageBreak/>
        <w:t>GM1 145.A.42(b) Components</w:t>
      </w:r>
      <w:bookmarkEnd w:id="136"/>
      <w:bookmarkEnd w:id="137"/>
    </w:p>
    <w:p w14:paraId="77D8F26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Used components maintained by a CAO appropriately approved for component maintenance and</w:t>
      </w:r>
    </w:p>
    <w:p w14:paraId="58D8D314" w14:textId="2D7E8B4C"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released on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cannot be installed on complex motor-powered aircraft or aircraft used</w:t>
      </w:r>
    </w:p>
    <w:p w14:paraId="112688CD" w14:textId="6F67778D"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by an air carrier licensed in accordance with </w:t>
      </w:r>
      <w:r w:rsidR="005146D8">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w:t>
      </w:r>
    </w:p>
    <w:p w14:paraId="0E5ACE7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38" w:name="toc_sec_0061"/>
      <w:bookmarkStart w:id="139" w:name="_Toc241066077"/>
      <w:r w:rsidRPr="00AD3643">
        <w:rPr>
          <w:rFonts w:ascii="Times New Roman" w:hAnsi="Times New Roman" w:cs="Times New Roman"/>
          <w:sz w:val="24"/>
          <w:szCs w:val="24"/>
          <w:lang w:val="en-US"/>
        </w:rPr>
        <w:t>AMC1 145.A.42(b)(i) Components</w:t>
      </w:r>
      <w:bookmarkEnd w:id="138"/>
      <w:bookmarkEnd w:id="139"/>
    </w:p>
    <w:p w14:paraId="18D82BA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ACCEPTANCE OF COMPONENTS FOR INSTALLATION</w:t>
      </w:r>
    </w:p>
    <w:p w14:paraId="380F588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procedures for the acceptance of components, standard parts and materials should have the objective of ensuring that the components, standard parts and materials are in satisfactory condition and meet the organisation’s requirements. These procedures should be based upon incoming inspections which include:</w:t>
      </w:r>
    </w:p>
    <w:p w14:paraId="3FC4B32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physical inspection of the components, standard parts and materials;</w:t>
      </w:r>
    </w:p>
    <w:p w14:paraId="78198CC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review of the accompanying documentation and data, which should be acceptable in accordance with 145.A.42(a).</w:t>
      </w:r>
    </w:p>
    <w:p w14:paraId="073B5FB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For the acceptance of components, standard parts and materials from suppliers, the above procedures should include supplier evaluation procedures.</w:t>
      </w:r>
    </w:p>
    <w:p w14:paraId="0BD33DF5"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40" w:name="toc_sec_0062"/>
      <w:bookmarkStart w:id="141" w:name="_Toc241066078"/>
      <w:r w:rsidRPr="00AD3643">
        <w:rPr>
          <w:rFonts w:ascii="Times New Roman" w:hAnsi="Times New Roman" w:cs="Times New Roman"/>
          <w:sz w:val="24"/>
          <w:szCs w:val="24"/>
          <w:lang w:val="en-US"/>
        </w:rPr>
        <w:t>GM1 145.A.42(b)(i) Components</w:t>
      </w:r>
      <w:bookmarkEnd w:id="140"/>
      <w:bookmarkEnd w:id="141"/>
    </w:p>
    <w:p w14:paraId="1153CBA0"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INCOMING PHYSICAL INSPECTION</w:t>
      </w:r>
    </w:p>
    <w:p w14:paraId="56B7810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To ensure that components, standard parts and materials are in satisfactory condition, the organisation should perform incoming physical inspections.</w:t>
      </w:r>
    </w:p>
    <w:p w14:paraId="58DEDE4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incoming physical inspection should be performed before the component is installed on the aircraft.</w:t>
      </w:r>
    </w:p>
    <w:p w14:paraId="79036FF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following list, although not exhaustive, contains typical checks to be performed:</w:t>
      </w:r>
    </w:p>
    <w:p w14:paraId="13EA31F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verify the general condition of the components and their packaging in relation to damages that could affect their integrity;</w:t>
      </w:r>
    </w:p>
    <w:p w14:paraId="1A8B9A3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verify that the shelf life of the component has not expired;</w:t>
      </w:r>
    </w:p>
    <w:p w14:paraId="78A8D0E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verify that items are received in the appropriate package in respect of the type of the component: e.g. correct ATA 300 or electrostatic sensitive devices packaging, when necessary;</w:t>
      </w:r>
    </w:p>
    <w:p w14:paraId="7F63175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verify that the component has all plugs and caps appropriately installed to prevent damage or internal contamination. Care should be taken when tape is used to cover electrical connections or fluid fittings/openings because adhesive residues can insulate electrical connections and contaminate hydraulic or fuel units.</w:t>
      </w:r>
    </w:p>
    <w:p w14:paraId="1783545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Items (fasteners, etc.) purchased in batches should be supplied in a package. The packaging should state the applicable specification/standard, part number, batch number, and the quantity of the items. The documentation that accompanies the material should contain the applicable specification/standard, part number, batch number, supplied quantity, and the manufacturing sources. If the material is acquired from different batches, acceptance documentation for each batch should be provided.</w:t>
      </w:r>
    </w:p>
    <w:p w14:paraId="2446C76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42" w:name="toc_sec_0063"/>
      <w:bookmarkStart w:id="143" w:name="_Toc241066079"/>
      <w:r w:rsidRPr="00AD3643">
        <w:rPr>
          <w:rFonts w:ascii="Times New Roman" w:hAnsi="Times New Roman" w:cs="Times New Roman"/>
          <w:sz w:val="24"/>
          <w:szCs w:val="24"/>
          <w:lang w:val="en-US"/>
        </w:rPr>
        <w:lastRenderedPageBreak/>
        <w:t>GM2 145.A.42(b)(i) Components</w:t>
      </w:r>
      <w:bookmarkEnd w:id="142"/>
      <w:bookmarkEnd w:id="143"/>
    </w:p>
    <w:p w14:paraId="55CE68ED"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EXAMPLES OF SUPPLIERS</w:t>
      </w:r>
    </w:p>
    <w:p w14:paraId="6A9C1FB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supplier could be any source that provides components, standard parts or materials to be used for</w:t>
      </w:r>
    </w:p>
    <w:p w14:paraId="0279A49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Possible sources could be: Part-145 organisations, Part 21 Subpart G or Part 21 Light</w:t>
      </w:r>
    </w:p>
    <w:p w14:paraId="0FAC316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Subpart G organisations, operators, stockists, distributors, brokers, aircraft owners/lessees, etc.</w:t>
      </w:r>
    </w:p>
    <w:p w14:paraId="0CED1B04" w14:textId="23FF659C" w:rsidR="00E52167" w:rsidRPr="00AD3643" w:rsidRDefault="00E52167" w:rsidP="00C95D06">
      <w:pPr>
        <w:pStyle w:val="Heading2"/>
        <w:spacing w:after="0"/>
        <w:jc w:val="both"/>
        <w:rPr>
          <w:rFonts w:ascii="Times New Roman" w:hAnsi="Times New Roman" w:cs="Times New Roman"/>
          <w:sz w:val="24"/>
          <w:szCs w:val="24"/>
          <w:lang w:val="en-US"/>
        </w:rPr>
      </w:pPr>
      <w:bookmarkStart w:id="144" w:name="toc_sec_0064"/>
      <w:bookmarkStart w:id="145" w:name="_Toc241066080"/>
      <w:r w:rsidRPr="00AD3643">
        <w:rPr>
          <w:rFonts w:ascii="Times New Roman" w:hAnsi="Times New Roman" w:cs="Times New Roman"/>
          <w:sz w:val="24"/>
          <w:szCs w:val="24"/>
          <w:lang w:val="en-US"/>
        </w:rPr>
        <w:t>GM3 145.A.42(b)(i) Components</w:t>
      </w:r>
      <w:bookmarkEnd w:id="144"/>
      <w:bookmarkEnd w:id="145"/>
    </w:p>
    <w:p w14:paraId="7F321B40"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SUPPLIER EVALUATION</w:t>
      </w:r>
    </w:p>
    <w:p w14:paraId="404C6C4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following elements should be considered for the initial and recurrent evaluation of a supplier’s quality system to ensure that the component and/or material is supplied in satisfactory condition:</w:t>
      </w:r>
    </w:p>
    <w:p w14:paraId="4EE377C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availability of appropriate up-to-date regulations, specifications (such as component handling/storage data) and standards;</w:t>
      </w:r>
    </w:p>
    <w:p w14:paraId="0777C54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standards and procedures for the training of personnel and competency assessment;</w:t>
      </w:r>
    </w:p>
    <w:p w14:paraId="18D8B59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procedures for shelf-life control;</w:t>
      </w:r>
    </w:p>
    <w:p w14:paraId="4CBA8E6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procedures for handling of electrostatic sensitive devices;</w:t>
      </w:r>
    </w:p>
    <w:p w14:paraId="2BF5387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procedures for identifying the source from which components and materials were received;</w:t>
      </w:r>
    </w:p>
    <w:p w14:paraId="7984188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purchasing procedures that identify documentation to accompany components and materials for subsequent use by approved Part-145 maintenance organisations;</w:t>
      </w:r>
    </w:p>
    <w:p w14:paraId="5BADD11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procedures for incoming inspection of components and materials;</w:t>
      </w:r>
    </w:p>
    <w:p w14:paraId="363AC49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procedures for control of measuring equipment that provide for appropriate storage, usage, and for calibration when such equipment is required;</w:t>
      </w:r>
    </w:p>
    <w:p w14:paraId="07954E1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(9)   procedures to ensure appropriate storage conditions for components and materials that are adequate to protect the components and materials from damage and/or</w:t>
      </w:r>
    </w:p>
    <w:p w14:paraId="05E0C14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deterioration. Such procedures should comply with the manufacturers’ recommendations and relevant standards;</w:t>
      </w:r>
    </w:p>
    <w:p w14:paraId="1A62EE1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(10) procedures for adequate packing and shipping of components and materials to protect them from damage and deterioration, including procedures for proper shipping of dangerous goods (e.g. ICAO and ATA specifications);</w:t>
      </w:r>
    </w:p>
    <w:p w14:paraId="6054145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(11) procedures for detecting and reporting of suspected unapproved components;</w:t>
      </w:r>
    </w:p>
    <w:p w14:paraId="149DF5E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(12) procedures for handling unsalvageable components in accordance with applicable regulations and standards;</w:t>
      </w:r>
    </w:p>
    <w:p w14:paraId="0AEE4DC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(13) procedures for batch splitting or redistribution of lots and handling of the related documents;</w:t>
      </w:r>
    </w:p>
    <w:p w14:paraId="732B402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(14) procedures for notifying purchasers of any components that have been shipped and have later been identified as not conforming to the applicable technical data or standard;</w:t>
      </w:r>
    </w:p>
    <w:p w14:paraId="5D492F7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(15) procedures for recall control to ensure that components and materials shipped can be traced and recalled if necessary;</w:t>
      </w:r>
    </w:p>
    <w:p w14:paraId="5BAE1E6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(16) procedures for monitoring the effectiveness of the quality system.</w:t>
      </w:r>
    </w:p>
    <w:p w14:paraId="41D218A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Suppliers which are certified to officially recognised standards that have a quality system that includes the elements specified in (a) may be acceptable; such standards include:</w:t>
      </w:r>
    </w:p>
    <w:p w14:paraId="3408D5C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EN/AS9120 and listed in the OASIS database;</w:t>
      </w:r>
    </w:p>
    <w:p w14:paraId="51FEDB1C"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lastRenderedPageBreak/>
        <w:t>(2)   ASA-100;</w:t>
      </w:r>
    </w:p>
    <w:p w14:paraId="39289F82"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(3)   EASO 2012;</w:t>
      </w:r>
    </w:p>
    <w:p w14:paraId="667C0C0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FAA AC 00-56. The use of such suppliers does not exempt the organisation from its obligations under 145.A.42 to ensure that supplied components and materials are in satisfactory condition and meet the applicable criteria of 145.A.42.</w:t>
      </w:r>
    </w:p>
    <w:p w14:paraId="3FE54AA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Supplier evaluation may depend on different factors, such as the type of component, whether or not the supplier is the manufacturer of the component, the TC holder or the declarant of a declaration of design compliance or a maintenance organisation, or even specific circumstances such as aircraft on ground. This evaluation may be limited to a questionnaire from the Part-145 organisation to its suppliers, a desktop evaluation of the supplier’s procedures or an on-site audit, if deemed necessary.</w:t>
      </w:r>
    </w:p>
    <w:p w14:paraId="586B8B49" w14:textId="6122DD87" w:rsidR="00E52167" w:rsidRPr="00AD3643" w:rsidRDefault="00E52167" w:rsidP="00C95D06">
      <w:pPr>
        <w:pStyle w:val="Heading2"/>
        <w:spacing w:after="0"/>
        <w:jc w:val="both"/>
        <w:rPr>
          <w:rFonts w:ascii="Times New Roman" w:hAnsi="Times New Roman" w:cs="Times New Roman"/>
          <w:sz w:val="24"/>
          <w:szCs w:val="24"/>
          <w:lang w:val="en-US"/>
        </w:rPr>
      </w:pPr>
      <w:bookmarkStart w:id="146" w:name="toc_sec_0065"/>
      <w:bookmarkStart w:id="147" w:name="_Toc241066081"/>
      <w:r w:rsidRPr="00AD3643">
        <w:rPr>
          <w:rFonts w:ascii="Times New Roman" w:hAnsi="Times New Roman" w:cs="Times New Roman"/>
          <w:sz w:val="24"/>
          <w:szCs w:val="24"/>
          <w:lang w:val="en-US"/>
        </w:rPr>
        <w:t>GM1 145.A.42(b)(ii) Components</w:t>
      </w:r>
      <w:bookmarkEnd w:id="146"/>
      <w:bookmarkEnd w:id="147"/>
    </w:p>
    <w:p w14:paraId="30CB592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INSTALLATION OF COMPONENTS</w:t>
      </w:r>
    </w:p>
    <w:p w14:paraId="0428A4C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Components, standard parts and materials should only be installed when they are specified in the</w:t>
      </w:r>
    </w:p>
    <w:p w14:paraId="2647590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applicable maintenance data as specified in 145.A.45(b). So, the installation of a component, standard</w:t>
      </w:r>
    </w:p>
    <w:p w14:paraId="1A2FA52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part or material can only be done after checking the applicable maintenance data.</w:t>
      </w:r>
    </w:p>
    <w:p w14:paraId="30E0B9A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This check should ensure that the part number, modification status, limitations, etc., of the</w:t>
      </w:r>
    </w:p>
    <w:p w14:paraId="383F947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component, standard part or material are the ones specified in the applicable maintenance data of</w:t>
      </w:r>
    </w:p>
    <w:p w14:paraId="7A2E52D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particular aircraft or component where the component, standard part or material is going to be</w:t>
      </w:r>
    </w:p>
    <w:p w14:paraId="5E2C1CB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installed. The organisation should establish procedures to ensure that this check is performed before</w:t>
      </w:r>
    </w:p>
    <w:p w14:paraId="5D56EEB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installation.</w:t>
      </w:r>
    </w:p>
    <w:p w14:paraId="6B102EC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48" w:name="toc_sec_0066"/>
      <w:bookmarkStart w:id="149" w:name="_Toc241066082"/>
      <w:r w:rsidRPr="00AD3643">
        <w:rPr>
          <w:rFonts w:ascii="Times New Roman" w:hAnsi="Times New Roman" w:cs="Times New Roman"/>
          <w:sz w:val="24"/>
          <w:szCs w:val="24"/>
          <w:lang w:val="en-US"/>
        </w:rPr>
        <w:t>AMC1 145.A.42(b)(iii) Components</w:t>
      </w:r>
      <w:bookmarkEnd w:id="148"/>
      <w:bookmarkEnd w:id="149"/>
    </w:p>
    <w:p w14:paraId="66DF7BC1" w14:textId="1306825B" w:rsidR="00E52167" w:rsidRPr="00AD3643" w:rsidRDefault="00E52167" w:rsidP="00C95D06">
      <w:pPr>
        <w:spacing w:after="0"/>
        <w:jc w:val="both"/>
        <w:rPr>
          <w:rFonts w:ascii="Times New Roman" w:hAnsi="Times New Roman" w:cs="Times New Roman"/>
          <w:sz w:val="24"/>
          <w:szCs w:val="24"/>
          <w:lang w:val="en-US"/>
        </w:rPr>
      </w:pPr>
    </w:p>
    <w:p w14:paraId="269B97DF"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FABRICATION OF PARTS FOR INSTALLATION</w:t>
      </w:r>
    </w:p>
    <w:p w14:paraId="3A1E0A0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agreement of the competent authority on the fabrication of parts by the approved maintenance organisation should be formalised through the approval of a detailed procedure in the Maintenance Organisation Exposition (MOE). This AMC contains principles and conditions to be taken into account for the preparation of an acceptable procedure.</w:t>
      </w:r>
    </w:p>
    <w:p w14:paraId="2D74458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Fabrication, inspection, assembly and test should be clearly within the technical and procedural capability of the organisation.</w:t>
      </w:r>
    </w:p>
    <w:p w14:paraId="609B22DA" w14:textId="386D2E35" w:rsidR="00E52167" w:rsidRPr="003B4864" w:rsidRDefault="00E52167" w:rsidP="00C95D06">
      <w:pPr>
        <w:spacing w:after="0"/>
        <w:jc w:val="both"/>
        <w:rPr>
          <w:rFonts w:ascii="Times New Roman" w:hAnsi="Times New Roman" w:cs="Times New Roman"/>
          <w:sz w:val="24"/>
          <w:szCs w:val="24"/>
          <w:lang w:val="en-US"/>
        </w:rPr>
      </w:pPr>
      <w:r w:rsidRPr="003B4864">
        <w:rPr>
          <w:rFonts w:ascii="Times New Roman" w:hAnsi="Times New Roman" w:cs="Times New Roman"/>
          <w:sz w:val="24"/>
          <w:szCs w:val="24"/>
          <w:lang w:val="en-US"/>
        </w:rPr>
        <w:t xml:space="preserve">(c)   All necessary data to fabricate the part should be approved either by the </w:t>
      </w:r>
      <w:r w:rsidR="003B4864" w:rsidRPr="00E95B59">
        <w:rPr>
          <w:rFonts w:ascii="Times New Roman" w:hAnsi="Times New Roman" w:cs="Times New Roman"/>
          <w:sz w:val="24"/>
          <w:szCs w:val="24"/>
          <w:highlight w:val="red"/>
          <w:lang w:val="en-US"/>
        </w:rPr>
        <w:t>CAA</w:t>
      </w:r>
      <w:r w:rsidRPr="003B4864">
        <w:rPr>
          <w:rFonts w:ascii="Times New Roman" w:hAnsi="Times New Roman" w:cs="Times New Roman"/>
          <w:sz w:val="24"/>
          <w:szCs w:val="24"/>
          <w:lang w:val="en-US"/>
        </w:rPr>
        <w:t xml:space="preserve"> or the type certificate (TC) holder, or Part 21 design organisation approval holder, or supplemental type certificate (STC) holder, or should be declared by the declarant of a declaration of design compliance or, if applicable for a minor change, by a Part 21 design organisation approval holder.</w:t>
      </w:r>
    </w:p>
    <w:p w14:paraId="3A94FFDB" w14:textId="6114D193"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(d)   Items that are fabricated by an organisation approved under Part-145 may only be used by that organisation in the course of overhaul, maintenance, modifications, or repair of aircraft or components, performing work at its own facilities. The permission to fabricate does not constitute approval for manufacture, or to supply externally, and the parts do not qualify for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certification. This prohibition also applies to the bulk transfer of surplus inventory, in that locally fabricated parts are physically segregated and excluded from any delivery certification.</w:t>
      </w:r>
    </w:p>
    <w:p w14:paraId="0128354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Fabrication of parts, modification kits, etc., for onward supply and/or sale may not be conducted by an organisation that is approved under Part-145.</w:t>
      </w:r>
    </w:p>
    <w:p w14:paraId="2E50D797" w14:textId="4360BC87" w:rsidR="00E52167" w:rsidRPr="00AD3643" w:rsidRDefault="00E52167" w:rsidP="003B4864">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(f)   The data specified in (c) may include repair procedures that involve the fabrication of parts. Where the data on such parts is sufficient to facilitate fabrication, the parts may be fabricated by an organisation that is approved under Part-145. Care should be taken to ensure that the data include details of part numbering, dimensions, materials, processes, and any special manufacturing techniques, special raw material specification and/or incoming inspection requirement, and that the approved organisation has the necessary capability to fabricate those</w:t>
      </w:r>
      <w:r w:rsidR="003B4864">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parts. That capability should be defined by way of exposition content. Where special processes or inspection procedures are defined in the approved or declared (in accordance with Part 21 Light Subpart C) data, which are not available at the organisation, the organisation cannot fabricate the part unless the TC/STC holder or the declarant of a declaration of design compliance gives an approved alternative.</w:t>
      </w:r>
    </w:p>
    <w:p w14:paraId="6E6B8B3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Examples of fabrication within the scope of a Part-145 approval may include but are not limited to the following:</w:t>
      </w:r>
    </w:p>
    <w:p w14:paraId="2EC8317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fabrication of bushes, sleeves and shims;</w:t>
      </w:r>
    </w:p>
    <w:p w14:paraId="511D971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fabrication of secondary structural elements and skin panels;</w:t>
      </w:r>
    </w:p>
    <w:p w14:paraId="773A1B6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fabrication of control cables;</w:t>
      </w:r>
    </w:p>
    <w:p w14:paraId="0B3B2F2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fabrication of flexible and rigid pipes;</w:t>
      </w:r>
    </w:p>
    <w:p w14:paraId="788C4C5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fabrication of electrical cable looms and assemblies;</w:t>
      </w:r>
    </w:p>
    <w:p w14:paraId="395ABF9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formed or machined sheet metal panels for repairs. All the above-mentioned fabricated parts should be in accordance with the data provided in the overhaul or repair manuals, modification schemes and service bulletins, drawings, or should be otherwise approved by the competent authority. Note: It is not acceptable to fabricate any item to pattern unless an engineering drawing of the item is produced which includes any necessary fabrication process and which is acceptable to the competent authority.</w:t>
      </w:r>
    </w:p>
    <w:p w14:paraId="6975C17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Where a TC holder or declarant of a declaration of design compliance, or an approved or declared (in accordance with Part 21 Light Subpart G) production organisation, or a production organisation using Part 21 Light Subpart R is prepared to make available complete data which is not referred to in the aircraft manuals or service bulletins but provides manufacturing drawings for items specified in parts lists, the fabrication of these items is not considered to be within the scope of an approval unless agreed otherwise by the competent authority in accordance with a procedure specified in the exposition.</w:t>
      </w:r>
    </w:p>
    <w:p w14:paraId="658C3E2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Inspection and identification Any locally fabricated part should be subject to inspection before, separately, and preferably independently from any inspection of its installation. The inspection should establish full</w:t>
      </w:r>
    </w:p>
    <w:p w14:paraId="503A7B3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compliance with the relevant manufacturing data, and the part should be unambiguously identified as fit for use by stating conformity to the approved or declared (in accordance with Part 21 Light Subpart C) data. Adequate records should be maintained of all such fabrication processes including heat treatment and final inspections. All parts, except those that do not have enough space, should carry a part number which clearly relates it to the manufacturing/inspection data. In addition to the part’s number, the organisation’s identity should be marked on the part for traceability purposes.</w:t>
      </w:r>
    </w:p>
    <w:p w14:paraId="6E97087C"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50" w:name="toc_sec_0067"/>
      <w:bookmarkStart w:id="151" w:name="_Toc241066083"/>
      <w:r w:rsidRPr="00AD3643">
        <w:rPr>
          <w:rFonts w:ascii="Times New Roman" w:hAnsi="Times New Roman" w:cs="Times New Roman"/>
          <w:sz w:val="24"/>
          <w:szCs w:val="24"/>
          <w:lang w:val="en-US"/>
        </w:rPr>
        <w:lastRenderedPageBreak/>
        <w:t>AMC1 145.A.42(c) Components</w:t>
      </w:r>
      <w:bookmarkEnd w:id="150"/>
      <w:bookmarkEnd w:id="151"/>
    </w:p>
    <w:p w14:paraId="70B26E72"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SEGREGATION OF COMPONENTS</w:t>
      </w:r>
    </w:p>
    <w:p w14:paraId="0844040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Unserviceable components should be identified and stored in a secure location that is under the control of the maintenance organisation until a decision is made on the future status of such</w:t>
      </w:r>
    </w:p>
    <w:p w14:paraId="345C2B4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components. The organisation that declared the component to be unserviceable may transfer its custody after identifying it as unserviceable to the aircraft owner provided that such transfer is reflected in the aircraft logbook, or engine logbook, or component logbook.</w:t>
      </w:r>
    </w:p>
    <w:p w14:paraId="4EF54AB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‘Secure location under the control of an approved maintenance organisation’ refers to a secure location whose security is the responsibility of the approved maintenance organisation. This may include facilities that are established by the organisation at locations different from the main maintenance facilities. These locations should be identified in the relevant procedures of the organisation.</w:t>
      </w:r>
    </w:p>
    <w:p w14:paraId="334014F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In the case of unsalvageable components, the organisation should:</w:t>
      </w:r>
    </w:p>
    <w:p w14:paraId="3C7204D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retain such component in the secure location referred to in paragraph (b);</w:t>
      </w:r>
    </w:p>
    <w:p w14:paraId="7D30077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arrange for the component to be mutilated in a manner that ensures that they are beyond economic salvage or repair before disposing it; or</w:t>
      </w:r>
    </w:p>
    <w:p w14:paraId="369B40E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mark the component indicating that it is unsalvageable, when in agreement with the component owner, the component is disposed of for legitimate non-flight uses (such as training and education aids, research and development), or for non-aviation applications, mutilation is often not appropriate. Alternatively to marking, the original part number or data plate information can be removed or a record kept of the disposal of the components.</w:t>
      </w:r>
    </w:p>
    <w:p w14:paraId="7D152A97" w14:textId="77777777" w:rsidR="00E52167" w:rsidRPr="00C3110B" w:rsidRDefault="00E52167" w:rsidP="00C95D06">
      <w:pPr>
        <w:pStyle w:val="Heading2"/>
        <w:spacing w:after="0"/>
        <w:jc w:val="both"/>
        <w:rPr>
          <w:rFonts w:ascii="Times New Roman" w:hAnsi="Times New Roman" w:cs="Times New Roman"/>
          <w:sz w:val="24"/>
          <w:szCs w:val="24"/>
          <w:lang w:val="en-US"/>
        </w:rPr>
      </w:pPr>
      <w:bookmarkStart w:id="152" w:name="toc_sec_0068"/>
      <w:bookmarkStart w:id="153" w:name="_Toc241066084"/>
      <w:r w:rsidRPr="00C3110B">
        <w:rPr>
          <w:rFonts w:ascii="Times New Roman" w:hAnsi="Times New Roman" w:cs="Times New Roman"/>
          <w:sz w:val="24"/>
          <w:szCs w:val="24"/>
          <w:lang w:val="en-US"/>
        </w:rPr>
        <w:t>GM1 145.A.42(c)(i) Components</w:t>
      </w:r>
      <w:bookmarkEnd w:id="152"/>
      <w:bookmarkEnd w:id="153"/>
    </w:p>
    <w:p w14:paraId="6A16C45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MUTILATION OF COMPONENTS</w:t>
      </w:r>
    </w:p>
    <w:p w14:paraId="0676E41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Mutilation should be accomplished in such a manner that the components become permanently unusable for their originally intended use. Mutilated components should not be able to be reworked or camouflaged to provide the appearance of being serviceable, such as by replating, shortening and rethreading long bolts, welding, straightening, machining, cleaning, polishing, or repainting.</w:t>
      </w:r>
    </w:p>
    <w:p w14:paraId="1A1A3AA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Mutilation may be accomplished by one or a combination of the following procedures:</w:t>
      </w:r>
    </w:p>
    <w:p w14:paraId="7B49C84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grinding;</w:t>
      </w:r>
    </w:p>
    <w:p w14:paraId="589525E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burning;</w:t>
      </w:r>
    </w:p>
    <w:p w14:paraId="6CDD091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removal of a major lug or other integral feature;</w:t>
      </w:r>
    </w:p>
    <w:p w14:paraId="76B23A8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permanent distortion of parts;</w:t>
      </w:r>
    </w:p>
    <w:p w14:paraId="2E7B329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cutting a hole with cutting torch or saw;</w:t>
      </w:r>
    </w:p>
    <w:p w14:paraId="4751A37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melting;</w:t>
      </w:r>
    </w:p>
    <w:p w14:paraId="21F85AA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sawing into many small pieces; and</w:t>
      </w:r>
    </w:p>
    <w:p w14:paraId="4FB9A2E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any other method accepted by the competent authority.</w:t>
      </w:r>
    </w:p>
    <w:p w14:paraId="1FAAB47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following procedures are examples of mutilation that are often less successful because they may not be consistently effective:</w:t>
      </w:r>
    </w:p>
    <w:p w14:paraId="72DAC09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stamping or vibro-etching;</w:t>
      </w:r>
    </w:p>
    <w:p w14:paraId="4D1BBFB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spraying with paint;</w:t>
      </w:r>
    </w:p>
    <w:p w14:paraId="3C95CAE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small distortions, incisions, or hammer marks;</w:t>
      </w:r>
    </w:p>
    <w:p w14:paraId="5997004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identification by tags or markings;</w:t>
      </w:r>
    </w:p>
    <w:p w14:paraId="10F35CC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(5)   drilling small holes; and</w:t>
      </w:r>
    </w:p>
    <w:p w14:paraId="633AC06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sawing in two pieces only.</w:t>
      </w:r>
    </w:p>
    <w:p w14:paraId="5FF3997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54" w:name="toc_sec_0069"/>
      <w:bookmarkStart w:id="155" w:name="_Toc241066085"/>
      <w:r w:rsidRPr="00AD3643">
        <w:rPr>
          <w:rFonts w:ascii="Times New Roman" w:hAnsi="Times New Roman" w:cs="Times New Roman"/>
          <w:sz w:val="24"/>
          <w:szCs w:val="24"/>
          <w:lang w:val="en-US"/>
        </w:rPr>
        <w:t>GM1 145.A.45(b) Maintenance data</w:t>
      </w:r>
      <w:bookmarkEnd w:id="154"/>
      <w:bookmarkEnd w:id="155"/>
    </w:p>
    <w:p w14:paraId="572266D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provisions of GM1 M.A.401(b)(3) and (b)(4), GM1 M.A.401(b)(4) and GM1 ML.A.401(b) apply.</w:t>
      </w:r>
    </w:p>
    <w:p w14:paraId="5DCF8B5C"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56" w:name="toc_sec_0070"/>
      <w:bookmarkStart w:id="157" w:name="_Toc241066086"/>
      <w:r w:rsidRPr="00AD3643">
        <w:rPr>
          <w:rFonts w:ascii="Times New Roman" w:hAnsi="Times New Roman" w:cs="Times New Roman"/>
          <w:sz w:val="24"/>
          <w:szCs w:val="24"/>
          <w:lang w:val="en-US"/>
        </w:rPr>
        <w:t>AMC1 145.A.45(c) Maintenance data</w:t>
      </w:r>
      <w:bookmarkEnd w:id="156"/>
      <w:bookmarkEnd w:id="157"/>
    </w:p>
    <w:p w14:paraId="01F30EB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referenced procedure should ensure that when maintenance personnel discover inaccurate, incomplete or ambiguous information in the maintenance data, they should record the details as part of the internal safety reporting scheme specified in point 145.A.202. The procedure should then ensure that the Part-145 approved maintenance organisation notifies the problem to the author of the maintenance data in a timely manner. A record of such communications to the author of the maintenance data should be retained by the Part-145 approved organisation until such time as the author of the maintenance data has clarified the issue by e.g. amending the maintenance data.</w:t>
      </w:r>
    </w:p>
    <w:p w14:paraId="6487A96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referenced procedure should be specified in the MOE.</w:t>
      </w:r>
    </w:p>
    <w:p w14:paraId="437A3C4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58" w:name="toc_sec_0071"/>
      <w:bookmarkStart w:id="159" w:name="_Toc241066087"/>
      <w:r w:rsidRPr="00AD3643">
        <w:rPr>
          <w:rFonts w:ascii="Times New Roman" w:hAnsi="Times New Roman" w:cs="Times New Roman"/>
          <w:sz w:val="24"/>
          <w:szCs w:val="24"/>
          <w:lang w:val="en-US"/>
        </w:rPr>
        <w:t>AMC1 145.A.45(d) Maintenance data</w:t>
      </w:r>
      <w:bookmarkEnd w:id="158"/>
      <w:bookmarkEnd w:id="159"/>
    </w:p>
    <w:p w14:paraId="04236D4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referenced procedure should address the need for a practical demonstration by the maintenance</w:t>
      </w:r>
    </w:p>
    <w:p w14:paraId="5E24AAE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personnel proposing the change to the compliance monitoring personnel, of the modified</w:t>
      </w:r>
    </w:p>
    <w:p w14:paraId="3FBDB69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instruction. Depending on the nature of the maintenance instruction modification, a risk</w:t>
      </w:r>
    </w:p>
    <w:p w14:paraId="6C1281B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assessment may be required to demonstrate that an equivalent or improved maintenance standard is</w:t>
      </w:r>
    </w:p>
    <w:p w14:paraId="1D063E0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reached. When satisfied, the compliance monitoring personnel should approve the modified</w:t>
      </w:r>
    </w:p>
    <w:p w14:paraId="1386DE4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instruction, and ensure that the author of the maintenance instruction is informed of</w:t>
      </w:r>
    </w:p>
    <w:p w14:paraId="3809F8B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modified maintenance instruction. The procedure should include a paper/electronic traceability</w:t>
      </w:r>
    </w:p>
    <w:p w14:paraId="7196B9A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of the complete process from start to finish, and ensure that the relevant maintenance instruction</w:t>
      </w:r>
    </w:p>
    <w:p w14:paraId="3E5C1DB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clearly identifies the modification. Modified maintenance instructions should only be used in the</w:t>
      </w:r>
    </w:p>
    <w:p w14:paraId="6EECF99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following circumstances:</w:t>
      </w:r>
    </w:p>
    <w:p w14:paraId="142F858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Where the original intent of the maintenance instruction can be carried out in a more practical or more efficient manner.</w:t>
      </w:r>
    </w:p>
    <w:p w14:paraId="7E2228B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Where the original intent of the maintenance instruction cannot be achieved when following the maintenance instructions. For example, where a component cannot be replaced following the original maintenance instructions.</w:t>
      </w:r>
    </w:p>
    <w:p w14:paraId="7F81CA4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For the use of alternative tools / equipment.</w:t>
      </w:r>
    </w:p>
    <w:p w14:paraId="313ADEB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Important Note: Critical Design Configuration Control Limitations (CDCCL) are airworthiness</w:t>
      </w:r>
    </w:p>
    <w:p w14:paraId="0A88A0C3" w14:textId="2A58809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limitations. Any modification of the maintenance instructions linked to CDCCL constitutes a change to</w:t>
      </w:r>
      <w:r w:rsidR="005146D8">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 (restricted) type certificate that should be approved in accordance with Part 21 or Part 21 Light.</w:t>
      </w:r>
    </w:p>
    <w:p w14:paraId="368C05DF" w14:textId="77777777" w:rsidR="00E52167" w:rsidRPr="00C3110B" w:rsidRDefault="00E52167" w:rsidP="00C95D06">
      <w:pPr>
        <w:pStyle w:val="Heading2"/>
        <w:spacing w:after="0"/>
        <w:jc w:val="both"/>
        <w:rPr>
          <w:rFonts w:ascii="Times New Roman" w:hAnsi="Times New Roman" w:cs="Times New Roman"/>
          <w:sz w:val="24"/>
          <w:szCs w:val="24"/>
          <w:lang w:val="en-US"/>
        </w:rPr>
      </w:pPr>
      <w:bookmarkStart w:id="160" w:name="toc_sec_0072"/>
      <w:bookmarkStart w:id="161" w:name="_Toc241066088"/>
      <w:r w:rsidRPr="00C3110B">
        <w:rPr>
          <w:rFonts w:ascii="Times New Roman" w:hAnsi="Times New Roman" w:cs="Times New Roman"/>
          <w:sz w:val="24"/>
          <w:szCs w:val="24"/>
          <w:lang w:val="en-US"/>
        </w:rPr>
        <w:t>AMC1 145.A.45(e) Maintenance data</w:t>
      </w:r>
      <w:bookmarkEnd w:id="160"/>
      <w:bookmarkEnd w:id="161"/>
    </w:p>
    <w:p w14:paraId="48A972E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relevant parts of the organisation’ means, as appropriate, aircraft base maintenance, aircraft line maintenance, specialised services, component workshops such as engine workshops, mechanical workshops or avionics workshops. Therefore, a common system should be used, for example, throughout the engine workshops, which may be different from that in the aircraft base maintenance.</w:t>
      </w:r>
    </w:p>
    <w:p w14:paraId="27A8CFB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2.    The work cards should differentiate and specify, when relevant, disassembly, accomplishment of tasks, reassembly and testing as well as the error-capturing method (e.g. independent inspection). In the case of a lengthy maintenance task involving a succession of personnel to complete such a task, it may be necessary to use supplementary work cards or worksheets to indicate what was actually accomplished by each individual person.</w:t>
      </w:r>
    </w:p>
    <w:p w14:paraId="12369A1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With reference to point 145.A.65(a), human factors should be taken into account during the development of work cards and worksheets.</w:t>
      </w:r>
    </w:p>
    <w:p w14:paraId="53C25E0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‘Complex or long maintenance tasks’ refers to tasks involving multiple disciplines or multiple shifts, or multiple zones/access opening, special tools, etc., or a combination of these. The stages into which the work cards are to be subdivided should refer to where work can be</w:t>
      </w:r>
    </w:p>
    <w:p w14:paraId="629E7ED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interrupted. Subdivision should also indicate when a different discipline continues to work if no separate work cards are provided.</w:t>
      </w:r>
    </w:p>
    <w:p w14:paraId="757617A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Where required by the operator/CAMO/CAO to use their work card or worksheet system, the maintenance organisation should assess the system for compliance with the maintenance organisation procedures, for example, the subdivision of complex or long maintenance tasks.</w:t>
      </w:r>
    </w:p>
    <w:p w14:paraId="4E76A8C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62" w:name="toc_sec_0073"/>
      <w:bookmarkStart w:id="163" w:name="_Toc241066089"/>
      <w:r w:rsidRPr="00AD3643">
        <w:rPr>
          <w:rFonts w:ascii="Times New Roman" w:hAnsi="Times New Roman" w:cs="Times New Roman"/>
          <w:sz w:val="24"/>
          <w:szCs w:val="24"/>
          <w:lang w:val="en-US"/>
        </w:rPr>
        <w:t>AMC 145.A.45(f) Maintenance data</w:t>
      </w:r>
      <w:bookmarkEnd w:id="162"/>
      <w:bookmarkEnd w:id="163"/>
    </w:p>
    <w:p w14:paraId="37A0346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Data being made available to personnel maintaining aircraft means that the data should be available in close proximity to the aircraft being maintained for supervisors, mechanics and certifying staff to study.</w:t>
      </w:r>
    </w:p>
    <w:p w14:paraId="180726A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Where computer systems are used, the number of computer terminals should be sufficient in relation to the size of the work programme to enable easy access, unless the computer system can produce paper copies. Where microfilm or microfiche readers/printers are used, a similar requirement is applicable.</w:t>
      </w:r>
    </w:p>
    <w:p w14:paraId="65631A0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64" w:name="toc_sec_0074"/>
      <w:bookmarkStart w:id="165" w:name="_Toc241066090"/>
      <w:r w:rsidRPr="00AD3643">
        <w:rPr>
          <w:rFonts w:ascii="Times New Roman" w:hAnsi="Times New Roman" w:cs="Times New Roman"/>
          <w:sz w:val="24"/>
          <w:szCs w:val="24"/>
          <w:lang w:val="en-US"/>
        </w:rPr>
        <w:t>AMC1 145.A.45(g) Maintenance data</w:t>
      </w:r>
      <w:bookmarkEnd w:id="164"/>
      <w:bookmarkEnd w:id="165"/>
    </w:p>
    <w:p w14:paraId="2CD71C0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 keep data up-to-date, a procedure should be set up to monitor the amendment status of all data</w:t>
      </w:r>
    </w:p>
    <w:p w14:paraId="535BC71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and maintain a check that all amendments are being received by being a subscriber to any document</w:t>
      </w:r>
    </w:p>
    <w:p w14:paraId="02F2535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amendment scheme. Special attention should be given to mandatory instructions and associated</w:t>
      </w:r>
    </w:p>
    <w:p w14:paraId="2574061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airworthiness limitations published by design approval holders or the declarant of a declaration of</w:t>
      </w:r>
    </w:p>
    <w:p w14:paraId="6F1AD09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design compliance.</w:t>
      </w:r>
    </w:p>
    <w:p w14:paraId="72C103B9"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66" w:name="toc_sec_0075"/>
      <w:bookmarkStart w:id="167" w:name="_Toc241066091"/>
      <w:r w:rsidRPr="00AD3643">
        <w:rPr>
          <w:rFonts w:ascii="Times New Roman" w:hAnsi="Times New Roman" w:cs="Times New Roman"/>
          <w:sz w:val="24"/>
          <w:szCs w:val="24"/>
          <w:lang w:val="en-US"/>
        </w:rPr>
        <w:t>AMC 145.A.47(a) Production planning</w:t>
      </w:r>
      <w:bookmarkEnd w:id="166"/>
      <w:bookmarkEnd w:id="167"/>
    </w:p>
    <w:p w14:paraId="598AA49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Depending on the amount and complexity of work generally performed by the maintenance organisation, the planning system may range from a very simple procedure to a complex organisational set-up including a dedicated planning function in support of the production function.</w:t>
      </w:r>
    </w:p>
    <w:p w14:paraId="36DA11F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For the purpose of Part-145, the production planning function includes two complementary elements:</w:t>
      </w:r>
    </w:p>
    <w:p w14:paraId="66EF54D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scheduling the maintenance work ahead, to ensure that it will not adversely interfere with other work as regards the availability of all necessary personnel, tools, equipment, material, maintenance data and facilities.</w:t>
      </w:r>
    </w:p>
    <w:p w14:paraId="0697AE5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during maintenance work, organising maintenance teams and shifts and provide all necessary support to ensure the completion of maintenance without undue time pressure.</w:t>
      </w:r>
    </w:p>
    <w:p w14:paraId="040792A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3.    When establishing the production planning procedure, consideration should be given to the following:</w:t>
      </w:r>
    </w:p>
    <w:p w14:paraId="3191C4B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logistics,</w:t>
      </w:r>
    </w:p>
    <w:p w14:paraId="4035901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inventory control,</w:t>
      </w:r>
    </w:p>
    <w:p w14:paraId="61E52E0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square meters of accommodation,</w:t>
      </w:r>
    </w:p>
    <w:p w14:paraId="302479F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man-hours estimation,</w:t>
      </w:r>
    </w:p>
    <w:p w14:paraId="02670ED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man-hours availability,</w:t>
      </w:r>
    </w:p>
    <w:p w14:paraId="46B1CE8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preparation of work,</w:t>
      </w:r>
    </w:p>
    <w:p w14:paraId="2E4C411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hangar availability,</w:t>
      </w:r>
    </w:p>
    <w:p w14:paraId="3E6A2DD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environmental conditions (access, lighting standards and cleanliness),</w:t>
      </w:r>
    </w:p>
    <w:p w14:paraId="0A6CFE6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co-ordination with internal and external suppliers, etc.</w:t>
      </w:r>
    </w:p>
    <w:p w14:paraId="126772F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scheduling critical maintenance tasks during periods when staff are likely to be most alert.</w:t>
      </w:r>
    </w:p>
    <w:p w14:paraId="25B2D35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68" w:name="toc_sec_0076"/>
      <w:bookmarkStart w:id="169" w:name="_Toc241066092"/>
      <w:r w:rsidRPr="00AD3643">
        <w:rPr>
          <w:rFonts w:ascii="Times New Roman" w:hAnsi="Times New Roman" w:cs="Times New Roman"/>
          <w:sz w:val="24"/>
          <w:szCs w:val="24"/>
          <w:lang w:val="en-US"/>
        </w:rPr>
        <w:t>AMC1 145.A.47(b) Production planning</w:t>
      </w:r>
      <w:bookmarkEnd w:id="168"/>
      <w:bookmarkEnd w:id="169"/>
    </w:p>
    <w:p w14:paraId="2C8CF698"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CONSIDERATION OF FATIGUE IN THE PLANNING OF MAINTENANCE</w:t>
      </w:r>
    </w:p>
    <w:p w14:paraId="36DCFB9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way and the extent to which the organisation should consider the threat of fatigue in the planning of tasks and organising of shifts will vary from one organisation to another and from one maintenance event to another, depending on what maintenance is to be carried out, how, where, when and by whom.</w:t>
      </w:r>
    </w:p>
    <w:p w14:paraId="56AD7A1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Fatigue is one example of human factors issues which should be taken into account by the management system, particularly for the planning activity. In this respect, where the organisation activity is prone to fatigue issues, the organisation should:</w:t>
      </w:r>
    </w:p>
    <w:p w14:paraId="5830DBA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ensure that the safety policy required by point 145.A.200(a) gives due consideration to the aspects of fatigue;</w:t>
      </w:r>
    </w:p>
    <w:p w14:paraId="6568859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ensure that the internal safety reporting scheme required by point 145.A.202 enables the collection of fatigue issues;</w:t>
      </w:r>
    </w:p>
    <w:p w14:paraId="75D8DFF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ensure that the threat of fatigue is adequately taken into account by the management system key processes (e.g. assessment, management, monitoring);</w:t>
      </w:r>
    </w:p>
    <w:p w14:paraId="1C15143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provide safety promotion material and adapt safety training accordingly.</w:t>
      </w:r>
    </w:p>
    <w:p w14:paraId="6FB4999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organising of shifts should consider good practices in the maintenance domain and applicable rules. The resulting shift schedule should be shared with the maintenance staff sufficiently in advance so they can plan adequate rest. The established shift durations should not be exceeded merely for management convenience even when staff is willing to work extended hours.</w:t>
      </w:r>
    </w:p>
    <w:p w14:paraId="7E75A82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organisation should have a procedure (including mitigations) to address cases where the working hours are to be significantly increased, or when the shift pattern is to be significantly modified, such as for urgent operational reasons. In cases not covered by that procedure, the organisation should perform a specific risk assessment and define additional mitigation actions, as applicable. Basic mitigations may include:</w:t>
      </w:r>
    </w:p>
    <w:p w14:paraId="02C18A5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additional supervision and independent inspection;</w:t>
      </w:r>
    </w:p>
    <w:p w14:paraId="55E3C8F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limitation of maintenance tasks to non-critical tasks;</w:t>
      </w:r>
    </w:p>
    <w:p w14:paraId="1EA0DA5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use of additional rest breaks.</w:t>
      </w:r>
    </w:p>
    <w:p w14:paraId="1BE5E23A"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70" w:name="toc_sec_0077"/>
      <w:bookmarkStart w:id="171" w:name="_Toc241066093"/>
      <w:r w:rsidRPr="00AD3643">
        <w:rPr>
          <w:rFonts w:ascii="Times New Roman" w:hAnsi="Times New Roman" w:cs="Times New Roman"/>
          <w:sz w:val="24"/>
          <w:szCs w:val="24"/>
          <w:lang w:val="en-US"/>
        </w:rPr>
        <w:lastRenderedPageBreak/>
        <w:t>GM1 145.A.47(b) Production planning</w:t>
      </w:r>
      <w:bookmarkEnd w:id="170"/>
      <w:bookmarkEnd w:id="171"/>
    </w:p>
    <w:p w14:paraId="5D4E0490"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CONSIDERATION OF FATIGUE IN THE PLANNING OF MAINTENANCE</w:t>
      </w:r>
    </w:p>
    <w:p w14:paraId="1511F0F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Fatigue may be induced by:</w:t>
      </w:r>
    </w:p>
    <w:p w14:paraId="6C56EA3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environment and conditions (e.g. noise, humidity, temperature, closed section, working overhead) in which the work is carried out;</w:t>
      </w:r>
    </w:p>
    <w:p w14:paraId="5D64CED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excessive hours of duty and shift working, particularly with multiple shift periods or patterns, additional overtime or night work;</w:t>
      </w:r>
    </w:p>
    <w:p w14:paraId="7F60269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travel to the maintenance location (e.g. jetlag, duration) Fatigue is one of the factors that may contribute towards maintenance errors when it is not properly considered as part of planning activities.</w:t>
      </w:r>
    </w:p>
    <w:p w14:paraId="26B5147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Taking into account the threat of fatigue in the planning of maintenance tasks and organising of shifts refers to setting up the maintenance and the shifts in a way that enables the maintenance staff to remain sufficiently free from fatigue so they can perform the planned maintenance safely, including:</w:t>
      </w:r>
    </w:p>
    <w:p w14:paraId="0BDF20A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providing rest periods of sufficient time to overcome the effects of the previous shift and to be rested by the start of the following shift;</w:t>
      </w:r>
    </w:p>
    <w:p w14:paraId="09F37C9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avoiding shift patterns that cause a serious disruption of an established sleep/work pattern, such as alternating day/night duties;</w:t>
      </w:r>
    </w:p>
    <w:p w14:paraId="5CFF2D8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planning recurrent extended rest periods and notifying staff sufficiently in advance.</w:t>
      </w:r>
    </w:p>
    <w:p w14:paraId="4482863C"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72" w:name="toc_sec_0078"/>
      <w:bookmarkStart w:id="173" w:name="_Toc241066094"/>
      <w:r w:rsidRPr="00AD3643">
        <w:rPr>
          <w:rFonts w:ascii="Times New Roman" w:hAnsi="Times New Roman" w:cs="Times New Roman"/>
          <w:sz w:val="24"/>
          <w:szCs w:val="24"/>
          <w:lang w:val="en-US"/>
        </w:rPr>
        <w:t>AMC 145.A.47(c) Production planning</w:t>
      </w:r>
      <w:bookmarkEnd w:id="172"/>
      <w:bookmarkEnd w:id="173"/>
    </w:p>
    <w:p w14:paraId="505F1BC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primary objective of the changeover / handover information is to ensure effective communication</w:t>
      </w:r>
    </w:p>
    <w:p w14:paraId="6BB9C2E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at the point of handing over the continuation or completion of maintenance actions. Effective task</w:t>
      </w:r>
    </w:p>
    <w:p w14:paraId="50775D2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and shift handover depends on three basic elements:</w:t>
      </w:r>
    </w:p>
    <w:p w14:paraId="0E3C97D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outgoing person’s ability to understand and communicate the important elements of the job or task being passed over to the incoming person.</w:t>
      </w:r>
    </w:p>
    <w:p w14:paraId="4599558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incoming person’s ability to understand and assimilate the information being provided by the outgoing person.</w:t>
      </w:r>
    </w:p>
    <w:p w14:paraId="267276F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formalised process for exchanging information between outgoing and incoming persons and a planned shift overlap and a place for such exchanges to take place.</w:t>
      </w:r>
    </w:p>
    <w:p w14:paraId="104A4BD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74" w:name="toc_sec_0079"/>
      <w:bookmarkStart w:id="175" w:name="_Toc241066095"/>
      <w:r w:rsidRPr="00AD3643">
        <w:rPr>
          <w:rFonts w:ascii="Times New Roman" w:hAnsi="Times New Roman" w:cs="Times New Roman"/>
          <w:sz w:val="24"/>
          <w:szCs w:val="24"/>
          <w:lang w:val="en-US"/>
        </w:rPr>
        <w:t>GM1 145.A.47(d) Production planning</w:t>
      </w:r>
      <w:bookmarkEnd w:id="174"/>
      <w:bookmarkEnd w:id="175"/>
    </w:p>
    <w:p w14:paraId="54CFE187" w14:textId="7CC19983"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External working teams’ refers to an organisation that does not belong to the Part-145 organisation</w:t>
      </w:r>
    </w:p>
    <w:p w14:paraId="460BD72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whose facility the maintenance is being carrying out, and which is, for example (this list is not</w:t>
      </w:r>
    </w:p>
    <w:p w14:paraId="4F48D3B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exhaustive):</w:t>
      </w:r>
    </w:p>
    <w:p w14:paraId="37EF25A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contracted by the Part-145 maintenance organisation; or</w:t>
      </w:r>
    </w:p>
    <w:p w14:paraId="6C84D33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subcontracted by the Part-145 maintenance organisation; or</w:t>
      </w:r>
    </w:p>
    <w:p w14:paraId="3EA77A0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contracted by the person or organisation responsible for the aircraft continuing airworthiness.</w:t>
      </w:r>
    </w:p>
    <w:p w14:paraId="3A0186C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objective of point 145.A.47(d) is to manage the risk involved in the actual execution of</w:t>
      </w:r>
    </w:p>
    <w:p w14:paraId="679B91F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by the various organisations at the same location.</w:t>
      </w:r>
    </w:p>
    <w:p w14:paraId="563CD57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Example: The need for one organisation to be informed that they should not put the aircraft in a</w:t>
      </w:r>
    </w:p>
    <w:p w14:paraId="76D5999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certain configuration (regarding, for instance, electrical power) if this is could contribute to an error</w:t>
      </w:r>
    </w:p>
    <w:p w14:paraId="7B72C0A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the maintenance performed by another organisation.</w:t>
      </w:r>
    </w:p>
    <w:p w14:paraId="1D772B53" w14:textId="0B09F6AB"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Note: Refer to GM2 145.A.205 for the difference between contracting and subcontracting</w:t>
      </w:r>
      <w:r w:rsidR="00B85555">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maintenance activities.</w:t>
      </w:r>
    </w:p>
    <w:p w14:paraId="7FC5E2D8"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76" w:name="toc_sec_0080"/>
      <w:bookmarkStart w:id="177" w:name="_Toc241066096"/>
      <w:r w:rsidRPr="00AD3643">
        <w:rPr>
          <w:rFonts w:ascii="Times New Roman" w:hAnsi="Times New Roman" w:cs="Times New Roman"/>
          <w:sz w:val="24"/>
          <w:szCs w:val="24"/>
          <w:lang w:val="en-US"/>
        </w:rPr>
        <w:t>GM 145.A.48 Performance of maintenance</w:t>
      </w:r>
      <w:bookmarkEnd w:id="176"/>
      <w:bookmarkEnd w:id="177"/>
    </w:p>
    <w:p w14:paraId="3E30174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AUTHORISED PERSON</w:t>
      </w:r>
    </w:p>
    <w:p w14:paraId="55F987E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 ‘authorised person’ is a person formally authorised by the maintenance organisation to perform</w:t>
      </w:r>
    </w:p>
    <w:p w14:paraId="60E0BBC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 supervise a maintenance task. An ‘authorised person’ is not necessarily ‘certifying staff’.</w:t>
      </w:r>
    </w:p>
    <w:p w14:paraId="2891C1D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SIGN-OFF</w:t>
      </w:r>
    </w:p>
    <w:p w14:paraId="7AC59C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‘sign-off’ is a statement issued by the ‘authorised person’ which indicates that the task or group of</w:t>
      </w:r>
    </w:p>
    <w:p w14:paraId="3AA500E5" w14:textId="13D2FC44"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tasks has been correctly performed. A ‘sign-off’ relates to one step in the maintenance process and is,</w:t>
      </w:r>
      <w:r w:rsidR="005940E9">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therefore, different to a certificate of release to service.</w:t>
      </w:r>
    </w:p>
    <w:p w14:paraId="6720297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78" w:name="toc_sec_0081"/>
      <w:bookmarkStart w:id="179" w:name="_Toc241066097"/>
      <w:r w:rsidRPr="00AD3643">
        <w:rPr>
          <w:rFonts w:ascii="Times New Roman" w:hAnsi="Times New Roman" w:cs="Times New Roman"/>
          <w:sz w:val="24"/>
          <w:szCs w:val="24"/>
          <w:lang w:val="en-US"/>
        </w:rPr>
        <w:t>AMC1 145.A.48(a) Performance of maintenance</w:t>
      </w:r>
      <w:bookmarkEnd w:id="178"/>
      <w:bookmarkEnd w:id="179"/>
    </w:p>
    <w:p w14:paraId="450C8E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Point (a) of 145.A.48 is intended to cover the situation where the organisation may temporarily not</w:t>
      </w:r>
    </w:p>
    <w:p w14:paraId="0DC1BE8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hold all the necessary tools, equipment, material, maintenance data, etc. for an aircraft type or</w:t>
      </w:r>
    </w:p>
    <w:p w14:paraId="5CB5FD7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variant, or component specified in the organisation’s scope of work. This point means that the</w:t>
      </w:r>
    </w:p>
    <w:p w14:paraId="4CCA2E6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competent authority need not amend the approval to delete the aircraft type or variants, or</w:t>
      </w:r>
    </w:p>
    <w:p w14:paraId="0361F8C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component on the basis that it is a temporary situation and there is a commitment from the</w:t>
      </w:r>
    </w:p>
    <w:p w14:paraId="6091FDA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organisation to re-acquire tools, equipment etc. before maintenance on the related aircraft or</w:t>
      </w:r>
    </w:p>
    <w:p w14:paraId="5BBDBAB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component may recommence.</w:t>
      </w:r>
    </w:p>
    <w:p w14:paraId="18B0519A"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80" w:name="toc_sec_0082"/>
      <w:bookmarkStart w:id="181" w:name="_Toc241066098"/>
      <w:r w:rsidRPr="00AD3643">
        <w:rPr>
          <w:rFonts w:ascii="Times New Roman" w:hAnsi="Times New Roman" w:cs="Times New Roman"/>
          <w:sz w:val="24"/>
          <w:szCs w:val="24"/>
          <w:lang w:val="en-US"/>
        </w:rPr>
        <w:t>GM1 145.A.48(c) Performance of maintenance</w:t>
      </w:r>
      <w:bookmarkEnd w:id="180"/>
      <w:bookmarkEnd w:id="181"/>
    </w:p>
    <w:p w14:paraId="450537D8"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CRITICAL DESIGN CONFIGURATION CONTROL LIMITATIONS (CDCCL)</w:t>
      </w:r>
    </w:p>
    <w:p w14:paraId="743C38A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organisation should ensure that when performing maintenance the CDCCL are not compromised.</w:t>
      </w:r>
    </w:p>
    <w:p w14:paraId="4555463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organisation should pay particular attention to possible adverse effects of any change to the</w:t>
      </w:r>
    </w:p>
    <w:p w14:paraId="7372873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wiring of the aircraft, even of a change not specifically associated with the fuel tank system. For</w:t>
      </w:r>
    </w:p>
    <w:p w14:paraId="7C612048" w14:textId="55580D49"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example, it should be common practice to identify the segregation of fuel gauging system wiring as a</w:t>
      </w:r>
      <w:r w:rsidR="005940E9">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CDCCL. The organisation can prevent adverse effects associated with changes to the wiring by</w:t>
      </w:r>
    </w:p>
    <w:p w14:paraId="352057B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standardising maintenance practices through training, and not through periodic inspections. Training</w:t>
      </w:r>
    </w:p>
    <w:p w14:paraId="383D4D55" w14:textId="58AA46E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should be provided to avoid indiscriminate routing and splicing of wires and to provide comprehensive</w:t>
      </w:r>
      <w:r w:rsidR="005940E9">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knowledge of critical design features of fuel tank systems that would be controlled by a CDCCL.</w:t>
      </w:r>
      <w:r w:rsidR="005940E9">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Guidance on the training of maintenance organisation personnel is provided in Appendix IV to AMC5</w:t>
      </w:r>
      <w:r w:rsidR="005940E9">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145.A.30(e) and AMC2 145.B.200(a)(3)</w:t>
      </w:r>
      <w:r w:rsidR="00B85555">
        <w:rPr>
          <w:rFonts w:ascii="Times New Roman" w:hAnsi="Times New Roman" w:cs="Times New Roman"/>
          <w:sz w:val="24"/>
          <w:szCs w:val="24"/>
          <w:lang w:val="en-US"/>
        </w:rPr>
        <w:t>.</w:t>
      </w:r>
    </w:p>
    <w:p w14:paraId="22CC973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82" w:name="toc_sec_0083"/>
      <w:bookmarkStart w:id="183" w:name="_Toc241066099"/>
      <w:r w:rsidRPr="00AD3643">
        <w:rPr>
          <w:rFonts w:ascii="Times New Roman" w:hAnsi="Times New Roman" w:cs="Times New Roman"/>
          <w:sz w:val="24"/>
          <w:szCs w:val="24"/>
          <w:lang w:val="en-US"/>
        </w:rPr>
        <w:t>AMC1 145.A.48(c)(2) Performance of maintenance</w:t>
      </w:r>
      <w:bookmarkEnd w:id="182"/>
      <w:bookmarkEnd w:id="183"/>
    </w:p>
    <w:p w14:paraId="1455996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organisation should have a procedure to identify the error-capturing methods, the critical</w:t>
      </w:r>
    </w:p>
    <w:p w14:paraId="32EB1E7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tasks, the training and the qualifications of staff applying error-capturing methods, and</w:t>
      </w:r>
    </w:p>
    <w:p w14:paraId="00FCCCD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how the organisation ensures that its staff is familiar with critical maintenance tasks and error-</w:t>
      </w:r>
    </w:p>
    <w:p w14:paraId="7D4A44F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capturing methods.</w:t>
      </w:r>
    </w:p>
    <w:p w14:paraId="2545A0AA"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84" w:name="toc_sec_0084"/>
      <w:bookmarkStart w:id="185" w:name="_Toc241066100"/>
      <w:r w:rsidRPr="00AD3643">
        <w:rPr>
          <w:rFonts w:ascii="Times New Roman" w:hAnsi="Times New Roman" w:cs="Times New Roman"/>
          <w:sz w:val="24"/>
          <w:szCs w:val="24"/>
          <w:lang w:val="en-US"/>
        </w:rPr>
        <w:lastRenderedPageBreak/>
        <w:t>AMC2 145.A.48(c)(2) Performance of maintenance</w:t>
      </w:r>
      <w:bookmarkEnd w:id="184"/>
      <w:bookmarkEnd w:id="185"/>
    </w:p>
    <w:p w14:paraId="2EF3B6E2"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CRITICAL MAINTENANCE TASKS</w:t>
      </w:r>
    </w:p>
    <w:p w14:paraId="56BBBE4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procedure should ensure that the following maintenance tasks are reviewed to assess their impact on flight safety:</w:t>
      </w:r>
    </w:p>
    <w:p w14:paraId="7B7EF91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tasks that may affect the control of the aircraft flight path and attitude, such as installation, rigging and adjustments of flight controls;</w:t>
      </w:r>
    </w:p>
    <w:p w14:paraId="5126BEA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aircraft stability control systems (autopilot, fuel transfer);</w:t>
      </w:r>
    </w:p>
    <w:p w14:paraId="566CB14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tasks that may affect the propulsive force of the aircraft, including installation of aircraft engines, propellers and rotors; and</w:t>
      </w:r>
    </w:p>
    <w:p w14:paraId="22DAF6B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overhaul, calibration or rigging of engines, propellers, transmissions and gearboxes.</w:t>
      </w:r>
    </w:p>
    <w:p w14:paraId="4537D49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procedure should describe which data sources are used to identify critical maintenance</w:t>
      </w:r>
    </w:p>
    <w:p w14:paraId="09E2DC2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tasks. Several data sources may be used, such as:</w:t>
      </w:r>
    </w:p>
    <w:p w14:paraId="5F257CD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information from the design approval holder or the declarant of a declaration of design compliance;</w:t>
      </w:r>
    </w:p>
    <w:p w14:paraId="3C3343C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accident reports;</w:t>
      </w:r>
    </w:p>
    <w:p w14:paraId="15BC3D4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investigation and follow-up of incidents;</w:t>
      </w:r>
    </w:p>
    <w:p w14:paraId="71879CA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occurrence reporting;</w:t>
      </w:r>
    </w:p>
    <w:p w14:paraId="7A9217B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flight data analysis, where this is available from the person or organisation responsible for the aircraft continuing airworthiness;</w:t>
      </w:r>
    </w:p>
    <w:p w14:paraId="51A4F8A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results of audits and independent inspections;</w:t>
      </w:r>
    </w:p>
    <w:p w14:paraId="40E541B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monitoring schemes for normal operations, where these are available from the person or organisation responsible for the aircraft continuing airworthiness;</w:t>
      </w:r>
    </w:p>
    <w:p w14:paraId="3617ECA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feedback from training.</w:t>
      </w:r>
    </w:p>
    <w:p w14:paraId="4EDE288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86" w:name="toc_sec_0085"/>
      <w:bookmarkStart w:id="187" w:name="_Toc241066101"/>
      <w:r w:rsidRPr="00AD3643">
        <w:rPr>
          <w:rFonts w:ascii="Times New Roman" w:hAnsi="Times New Roman" w:cs="Times New Roman"/>
          <w:sz w:val="24"/>
          <w:szCs w:val="24"/>
          <w:lang w:val="en-US"/>
        </w:rPr>
        <w:t>AMC3 145.A.48(c)(2) Performance of maintenance</w:t>
      </w:r>
      <w:bookmarkEnd w:id="186"/>
      <w:bookmarkEnd w:id="187"/>
    </w:p>
    <w:p w14:paraId="195F1A3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ERROR-CAPTURING METHODS</w:t>
      </w:r>
    </w:p>
    <w:p w14:paraId="707CE04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Error-capturing methods are those actions defined by the organisation to detect maintenance errors that are made while performing maintenance.</w:t>
      </w:r>
    </w:p>
    <w:p w14:paraId="01B413A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organisation should ensure that the error-capturing methods are adequate for the work and the disturbance of the system. A combination of several actions (e.g. visual inspection, operational check, functional test, rigging check) may be necessary in some cases.</w:t>
      </w:r>
    </w:p>
    <w:p w14:paraId="7461BE42"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88" w:name="toc_sec_0086"/>
      <w:bookmarkStart w:id="189" w:name="_Toc241066102"/>
      <w:r w:rsidRPr="00AD3643">
        <w:rPr>
          <w:rFonts w:ascii="Times New Roman" w:hAnsi="Times New Roman" w:cs="Times New Roman"/>
          <w:sz w:val="24"/>
          <w:szCs w:val="24"/>
          <w:lang w:val="en-US"/>
        </w:rPr>
        <w:t>AMC4 145.A.48(c)(2) Performance of maintenance</w:t>
      </w:r>
      <w:bookmarkEnd w:id="188"/>
      <w:bookmarkEnd w:id="189"/>
    </w:p>
    <w:p w14:paraId="22FBFE1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INDEPENDENT INSPECTION</w:t>
      </w:r>
    </w:p>
    <w:p w14:paraId="384EFB8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Independent inspection is one possible error-capturing method.</w:t>
      </w:r>
    </w:p>
    <w:p w14:paraId="4913BDE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What is an independent inspection An independent inspection is an inspection performed by an ‘independent qualified person’ of a task carried out by an ‘authorised person’, taking into account that:</w:t>
      </w:r>
    </w:p>
    <w:p w14:paraId="15696E0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‘authorised person’ is the person who performs the task or supervises the task and they assume the full responsibility for the completion of the task in accordance with the applicable maintenance data;</w:t>
      </w:r>
    </w:p>
    <w:p w14:paraId="08AE1ED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   the ‘independent qualified person’ is the person who performs the independent inspection and attests the satisfactory completion of the task and that no deficiencies have been found. The </w:t>
      </w:r>
      <w:r w:rsidRPr="00AD3643">
        <w:rPr>
          <w:rFonts w:ascii="Times New Roman" w:hAnsi="Times New Roman" w:cs="Times New Roman"/>
          <w:sz w:val="24"/>
          <w:szCs w:val="24"/>
          <w:lang w:val="en-US"/>
        </w:rPr>
        <w:lastRenderedPageBreak/>
        <w:t>‘independent qualified person’ does not issue a certificate of release to service, therefore they are not required to hold certification privileges;</w:t>
      </w:r>
    </w:p>
    <w:p w14:paraId="1AE0F47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‘authorised person’ issues the certificate of release to service or signs off the completion of the task after the independent inspection has been carried out satisfactorily;</w:t>
      </w:r>
    </w:p>
    <w:p w14:paraId="430F707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work card system used by the organisation should record the identification of both persons and the details of the independent inspection as necessary before the certificate of release to service or sign-off for the completion of the task is issued.</w:t>
      </w:r>
    </w:p>
    <w:p w14:paraId="4259788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Qualifications of persons performing independent inspections The organisation should have procedures to demonstrate that the ‘independent qualified person’ has been trained and has gained experience in the specific inspection to be performed. The organisation could consider making use of, for example:</w:t>
      </w:r>
    </w:p>
    <w:p w14:paraId="7D71352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staff holding a certifying staff or support staff or sign-off authorisation or equivalent necessary to release or sign off the critical maintenance task;</w:t>
      </w:r>
    </w:p>
    <w:p w14:paraId="7B10BA6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staff holding a certifying staff or support staff or sign-off authorisation or equivalent necessary to release or sign off similar task in a product of similar category and having received specific practical training in the task to be inspected; or</w:t>
      </w:r>
    </w:p>
    <w:p w14:paraId="4BCD270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 commander holding a limited certification authorisation in accordance with 145.A.30(j)(4) and having received adequate practical training and having enough experience in the specific task to be inspected and on how to perform independent inspection.</w:t>
      </w:r>
    </w:p>
    <w:p w14:paraId="185F881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How to perform an independent inspection An independent inspection should ensure correct assembly, locking and sense of operation. When inspecting control systems that have undergone maintenance, the independent qualified person should consider the following points independently:</w:t>
      </w:r>
    </w:p>
    <w:p w14:paraId="23F3E16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all those parts of the system that have actually been disconnected or disturbed should be inspected for correct assembly and locking;</w:t>
      </w:r>
    </w:p>
    <w:p w14:paraId="5E1BBFA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system as a whole should be inspected for full and free movement over the complete range;</w:t>
      </w:r>
    </w:p>
    <w:p w14:paraId="699363B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cables should be tensioned correctly with adequate clearance at secondary stops;</w:t>
      </w:r>
    </w:p>
    <w:p w14:paraId="5664863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operation of the control system as a whole should be observed to ensure that the controls are operating in the correct sense;</w:t>
      </w:r>
    </w:p>
    <w:p w14:paraId="697D008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if different control systems are interconnected so that they affect each other, all the interactions should be checked through the full range of the applicable controls; and</w:t>
      </w:r>
    </w:p>
    <w:p w14:paraId="7B8A4F7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software that is part of the critical maintenance task should be checked, for example: version, compatibility with aircraft configuration.</w:t>
      </w:r>
    </w:p>
    <w:p w14:paraId="0417CEA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What to do in unforeseen cases when only one person is available REINSPECTION:</w:t>
      </w:r>
    </w:p>
    <w:p w14:paraId="205F42D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Reinspection is an error-capturing method subject to the same conditions as an independent inspection is, except that the ‘authorised person’ performing the maintenance task is also acting as ‘independent qualified person’ and performs the inspection.</w:t>
      </w:r>
    </w:p>
    <w:p w14:paraId="0193329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Reinspection, as an error-capturing method, should only be performed in unforeseen circumstances when only one person is available to carry out the task and perform the independent inspection. The circumstances cannot be considered unforeseen if the person or organisation has not assigned a suitable ‘independent qualified person’ to that particular line station or shift.</w:t>
      </w:r>
    </w:p>
    <w:p w14:paraId="07082BC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certificate of release to service is issued after the task has been performed by the ‘authorised person’ and the reinspection has been carried out satisfactorily. The work card system used by the organisation should record the identification and the details of the reinspection before the certificate of release to service for the task is issued.</w:t>
      </w:r>
    </w:p>
    <w:p w14:paraId="5F83A311"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90" w:name="toc_sec_0087"/>
      <w:bookmarkStart w:id="191" w:name="_Toc241066103"/>
      <w:r w:rsidRPr="00AD3643">
        <w:rPr>
          <w:rFonts w:ascii="Times New Roman" w:hAnsi="Times New Roman" w:cs="Times New Roman"/>
          <w:sz w:val="24"/>
          <w:szCs w:val="24"/>
          <w:lang w:val="en-US"/>
        </w:rPr>
        <w:lastRenderedPageBreak/>
        <w:t>AMC1 145.A.48(c)(3) Performance of maintenance</w:t>
      </w:r>
      <w:bookmarkEnd w:id="190"/>
      <w:bookmarkEnd w:id="191"/>
    </w:p>
    <w:p w14:paraId="0751180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procedures should be aimed at:</w:t>
      </w:r>
    </w:p>
    <w:p w14:paraId="4D127A9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minimising errors and preventing omissions. Therefore, the procedures should specify:</w:t>
      </w:r>
    </w:p>
    <w:p w14:paraId="58F69ED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that every maintenance task is signed off only after completion;</w:t>
      </w:r>
    </w:p>
    <w:p w14:paraId="08398F9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how the grouping of tasks for the purpose of sign-off allows critical steps to be clearly identified; and</w:t>
      </w:r>
    </w:p>
    <w:p w14:paraId="2345EDF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that work performed by personnel under supervision (i.e. temporary staff, trainees) is checked and signed off by an authorised person;</w:t>
      </w:r>
    </w:p>
    <w:p w14:paraId="4CC613D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minimising the possibility of an error being repeated in identical tasks and, therefore, compromising more than one system or function. Thus, the procedures should ensure that no person is required to perform a maintenance task involving removal/installation or assembly/disassembly of several components of the same type fitted to more than one system, a failure of which could have an impact on safety, on the same aircraft or component during a particular maintenance check. However, in unforeseen circumstances when only one person is available, the organisation may make use of reinspection as described in point (d) of AMC4 145.A.48(c)(2).</w:t>
      </w:r>
    </w:p>
    <w:p w14:paraId="65F3D80D"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192" w:name="toc_sec_0088"/>
      <w:bookmarkStart w:id="193" w:name="_Toc241066104"/>
      <w:r w:rsidRPr="00AD3643">
        <w:rPr>
          <w:rFonts w:ascii="Times New Roman" w:hAnsi="Times New Roman" w:cs="Times New Roman"/>
          <w:sz w:val="24"/>
          <w:szCs w:val="24"/>
          <w:lang w:val="en-US"/>
        </w:rPr>
        <w:t>GM1 145.A.48(c)(3) Performance of maintenance</w:t>
      </w:r>
      <w:bookmarkEnd w:id="192"/>
      <w:bookmarkEnd w:id="193"/>
    </w:p>
    <w:p w14:paraId="5CFC16E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 minimise the risk of errors during maintenance and the risk of errors being repeated in identical</w:t>
      </w:r>
    </w:p>
    <w:p w14:paraId="4E069F5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tasks, the organisation may implement:</w:t>
      </w:r>
    </w:p>
    <w:p w14:paraId="6F1A974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procedures to plan the performance by different persons of the same task in different systems;</w:t>
      </w:r>
    </w:p>
    <w:p w14:paraId="6A2A691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independent inspection or re-inspection procedures.</w:t>
      </w:r>
    </w:p>
    <w:p w14:paraId="67A0DD69" w14:textId="222C4C9D" w:rsidR="00E52167" w:rsidRPr="00AD3643" w:rsidRDefault="00E52167" w:rsidP="00C95D06">
      <w:pPr>
        <w:pStyle w:val="Heading2"/>
        <w:spacing w:after="0"/>
        <w:jc w:val="both"/>
        <w:rPr>
          <w:rFonts w:ascii="Times New Roman" w:hAnsi="Times New Roman" w:cs="Times New Roman"/>
          <w:sz w:val="24"/>
          <w:szCs w:val="24"/>
          <w:lang w:val="en-US"/>
        </w:rPr>
      </w:pPr>
      <w:bookmarkStart w:id="194" w:name="toc_sec_0089"/>
      <w:bookmarkStart w:id="195" w:name="_Toc241066105"/>
      <w:r w:rsidRPr="00AD3643">
        <w:rPr>
          <w:rFonts w:ascii="Times New Roman" w:hAnsi="Times New Roman" w:cs="Times New Roman"/>
          <w:sz w:val="24"/>
          <w:szCs w:val="24"/>
          <w:lang w:val="en-US"/>
        </w:rPr>
        <w:t>AMC 145.A.50 Certification of maintenance after embodiment of a</w:t>
      </w:r>
      <w:bookmarkEnd w:id="194"/>
      <w:r w:rsidR="00FD3E7F">
        <w:rPr>
          <w:rFonts w:ascii="Times New Roman" w:hAnsi="Times New Roman" w:cs="Times New Roman"/>
          <w:sz w:val="24"/>
          <w:szCs w:val="24"/>
          <w:lang w:val="en-US"/>
        </w:rPr>
        <w:t xml:space="preserve"> </w:t>
      </w:r>
      <w:r w:rsidRPr="00FD3E7F">
        <w:rPr>
          <w:rFonts w:ascii="Times New Roman" w:hAnsi="Times New Roman" w:cs="Times New Roman"/>
          <w:sz w:val="24"/>
          <w:szCs w:val="24"/>
          <w:lang w:val="en-US"/>
        </w:rPr>
        <w:t>Standard Change or Standard Repair (SC/SR)</w:t>
      </w:r>
      <w:bookmarkEnd w:id="195"/>
    </w:p>
    <w:p w14:paraId="2AF7555C" w14:textId="670C35A2"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AMC M.A.801 of the AMC to Part-M and AMC1 ML.A.801 of the AMC to Part-ML contain acceptable</w:t>
      </w:r>
      <w:r w:rsidR="00FD3E7F">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means of compliance for the release to service of a SC/SR by an organisation approved in accordance</w:t>
      </w:r>
      <w:r w:rsidR="00FD3E7F">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with Part-145.</w:t>
      </w:r>
    </w:p>
    <w:p w14:paraId="2778E091" w14:textId="4DD17DCE" w:rsidR="00E52167" w:rsidRPr="00AD3643" w:rsidRDefault="00E52167" w:rsidP="00C95D06">
      <w:pPr>
        <w:pStyle w:val="Heading2"/>
        <w:spacing w:after="0"/>
        <w:jc w:val="both"/>
        <w:rPr>
          <w:rFonts w:ascii="Times New Roman" w:hAnsi="Times New Roman" w:cs="Times New Roman"/>
          <w:sz w:val="24"/>
          <w:szCs w:val="24"/>
          <w:lang w:val="en-US"/>
        </w:rPr>
      </w:pPr>
      <w:bookmarkStart w:id="196" w:name="toc_sec_0090"/>
      <w:bookmarkStart w:id="197" w:name="_Toc241066106"/>
      <w:r w:rsidRPr="00AD3643">
        <w:rPr>
          <w:rFonts w:ascii="Times New Roman" w:hAnsi="Times New Roman" w:cs="Times New Roman"/>
          <w:sz w:val="24"/>
          <w:szCs w:val="24"/>
          <w:lang w:val="en-US"/>
        </w:rPr>
        <w:t>GM1 145.A.50(a) Certification of maintenance</w:t>
      </w:r>
      <w:bookmarkEnd w:id="196"/>
      <w:bookmarkEnd w:id="197"/>
    </w:p>
    <w:p w14:paraId="634BEA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’Endanger flight safety’ means any instances where safe operation could not be assured, or which</w:t>
      </w:r>
    </w:p>
    <w:p w14:paraId="7274CEB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could lead to an unsafe condition. These typically include, but are not limited to, significant cracking,</w:t>
      </w:r>
    </w:p>
    <w:p w14:paraId="062A62F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deformation, corrosion or failure of primary structure, any evidence of burning, electrical arcing,</w:t>
      </w:r>
    </w:p>
    <w:p w14:paraId="2322C77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significant hydraulic fluid or fuel leakage, and any emergency system or total system failure. An</w:t>
      </w:r>
    </w:p>
    <w:p w14:paraId="084BDDA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airworthiness directive that is overdue for compliance is also considered to be a hazard to flight safety.</w:t>
      </w:r>
    </w:p>
    <w:p w14:paraId="61822D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However, the intent is not to require the maintenance organisation to find or become responsible for</w:t>
      </w:r>
    </w:p>
    <w:p w14:paraId="5A1664F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hidden non-compliances which are not expected to be discovered during the ordered maintenance.</w:t>
      </w:r>
    </w:p>
    <w:p w14:paraId="282BA5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certificate of release to service issued by a maintenance organisation certifies that the performed</w:t>
      </w:r>
    </w:p>
    <w:p w14:paraId="2D82B10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work, as agreed in the work order or the contract, has been completed in accordance</w:t>
      </w:r>
    </w:p>
    <w:p w14:paraId="09CE6A8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with the applicable requirements and the maintenance organisation’s approved procedures. In the</w:t>
      </w:r>
    </w:p>
    <w:p w14:paraId="4ED9A91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case of aircraft maintenance, it does not necessarily mean that the aircraft is in airworthy condition.</w:t>
      </w:r>
    </w:p>
    <w:p w14:paraId="0F38AE5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Ensuring that the aircraft is airworthy before each flight always remains the responsibility of the</w:t>
      </w:r>
    </w:p>
    <w:p w14:paraId="0C8561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person or organisation managing the aircraft continuing airworthiness.</w:t>
      </w:r>
    </w:p>
    <w:p w14:paraId="5399D9DF" w14:textId="50314CAB" w:rsidR="00E52167" w:rsidRPr="00AD3643" w:rsidRDefault="00E52167" w:rsidP="00C95D06">
      <w:pPr>
        <w:pStyle w:val="Heading2"/>
        <w:spacing w:after="0"/>
        <w:jc w:val="both"/>
        <w:rPr>
          <w:rFonts w:ascii="Times New Roman" w:hAnsi="Times New Roman" w:cs="Times New Roman"/>
          <w:sz w:val="24"/>
          <w:szCs w:val="24"/>
          <w:lang w:val="en-US"/>
        </w:rPr>
      </w:pPr>
      <w:bookmarkStart w:id="198" w:name="toc_sec_0091"/>
      <w:bookmarkStart w:id="199" w:name="_Toc241066107"/>
      <w:r w:rsidRPr="00AD3643">
        <w:rPr>
          <w:rFonts w:ascii="Times New Roman" w:hAnsi="Times New Roman" w:cs="Times New Roman"/>
          <w:sz w:val="24"/>
          <w:szCs w:val="24"/>
          <w:lang w:val="en-US"/>
        </w:rPr>
        <w:lastRenderedPageBreak/>
        <w:t>AMC 145.A.50(b) Certification of maintenance</w:t>
      </w:r>
      <w:bookmarkEnd w:id="198"/>
      <w:bookmarkEnd w:id="199"/>
    </w:p>
    <w:p w14:paraId="50481EA5" w14:textId="2E4DC9D9"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The certificate of release to service should contain the following statement: ‘Certifies that the work specified, except as otherwise specified, was carried out in accordance with Part-145 and in respect to that work the aircraft/aircraft component is considered ready for release to service’. Reference should also be made to the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Part-145 approval number and the identity of the person who issued the release.</w:t>
      </w:r>
    </w:p>
    <w:p w14:paraId="79CC899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It is acceptable to use an alternate abbreviated certificate of release to service consisting of the following statement ‘Part-145 release to service’ instead of the full certification statement specified in paragraph 1. When the alternate abbreviated certificate of release to service is used, the introductory section of the technical log should include an example of the full certification statement from paragraph 1.</w:t>
      </w:r>
    </w:p>
    <w:p w14:paraId="36C7440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certificate of release to service should relate to the task specified in the instructions issued by the (S)TC holder or the declarant of a declaration of design compliance or operator or in the aircraft maintenance programme which itself may cross-refer to maintenance data.</w:t>
      </w:r>
    </w:p>
    <w:p w14:paraId="158A19E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date such maintenance was carried out should include when the maintenance took place relative to any life or overhaul limitation in terms of date/flying hours/cycles/landings etc., as appropriate.</w:t>
      </w:r>
    </w:p>
    <w:p w14:paraId="6E10D72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When extensive maintenance has been carried out, it is acceptable for the certificate of release to service to summarise the maintenance as long as there is a unique cross-reference to the work package containing full details of maintenance carried out. Dimensional information should be retained in the work-pack record.</w:t>
      </w:r>
    </w:p>
    <w:p w14:paraId="069D08B4" w14:textId="6B237AAA" w:rsidR="00E52167" w:rsidRPr="00AD3643" w:rsidRDefault="00E52167" w:rsidP="00C95D06">
      <w:pPr>
        <w:pStyle w:val="Heading2"/>
        <w:spacing w:after="0"/>
        <w:jc w:val="both"/>
        <w:rPr>
          <w:rFonts w:ascii="Times New Roman" w:hAnsi="Times New Roman" w:cs="Times New Roman"/>
          <w:sz w:val="24"/>
          <w:szCs w:val="24"/>
          <w:lang w:val="en-US"/>
        </w:rPr>
      </w:pPr>
      <w:bookmarkStart w:id="200" w:name="toc_sec_0092"/>
      <w:bookmarkStart w:id="201" w:name="_Toc241066108"/>
      <w:r w:rsidRPr="00AD3643">
        <w:rPr>
          <w:rFonts w:ascii="Times New Roman" w:hAnsi="Times New Roman" w:cs="Times New Roman"/>
          <w:sz w:val="24"/>
          <w:szCs w:val="24"/>
          <w:lang w:val="en-US"/>
        </w:rPr>
        <w:t>AMC1 145.A.50(d) Certification of maintenance</w:t>
      </w:r>
      <w:bookmarkEnd w:id="200"/>
      <w:bookmarkEnd w:id="201"/>
    </w:p>
    <w:p w14:paraId="5163849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purpose of the certificate is to certify maintenance work carried out on</w:t>
      </w:r>
    </w:p>
    <w:p w14:paraId="71E316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assemblies/items/components/parts (hereafter referred to as ‘item(s)’). It also allows the removal</w:t>
      </w:r>
    </w:p>
    <w:p w14:paraId="08B697F1" w14:textId="01CF87FC"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from aircraft of items in a ‘serviceable’ condition in accordance with AMC2 145.A.50(d) in order to fit</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them to another aircraft/aircraft component.</w:t>
      </w:r>
    </w:p>
    <w:p w14:paraId="5FEF9AD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certificate is to be used for export/import purposes, as well as for domestic purposes, and serves</w:t>
      </w:r>
    </w:p>
    <w:p w14:paraId="061517D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 an official certificate for items from the manufacturer/maintenance organisation to users.</w:t>
      </w:r>
    </w:p>
    <w:p w14:paraId="1EC2514E" w14:textId="53AC28BE"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It can only be issued by organisations approved by the particular competent authority within the scope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of the approval.</w:t>
      </w:r>
    </w:p>
    <w:p w14:paraId="1504F631" w14:textId="5344B5F3"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certificate may be used as a rotable tag by utilising the available space on the reverse side of the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certificate for any additional information and dispatching the item with two copies of the certificate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so that one copy may be eventually returned with the item to the maintenance organisation. The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alternative solution is to use existing rotable tags and also supply a copy of the certificate.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 certificate should not be issued for any item when it is known that the item is unserviceable except</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in the case of an item undergoing a series of maintenance processes at several maintenance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organisations approved under Part-145 and the item needs a certificate for the previous maintenance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process carried out for the next maintenance organisation approved under Part-145 to accept the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item for subsequent maintenance processes. In such a case, a clear statement of limitation should be</w:t>
      </w:r>
      <w:r w:rsidR="0059077B">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endorsed in Block 12.</w:t>
      </w:r>
    </w:p>
    <w:p w14:paraId="7A657B7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02" w:name="toc_sec_0093"/>
      <w:bookmarkStart w:id="203" w:name="_Toc241066109"/>
      <w:r w:rsidRPr="00AD3643">
        <w:rPr>
          <w:rFonts w:ascii="Times New Roman" w:hAnsi="Times New Roman" w:cs="Times New Roman"/>
          <w:sz w:val="24"/>
          <w:szCs w:val="24"/>
          <w:lang w:val="en-US"/>
        </w:rPr>
        <w:lastRenderedPageBreak/>
        <w:t>AMC2 145.A.50(d) Certification of maintenance</w:t>
      </w:r>
      <w:bookmarkEnd w:id="202"/>
      <w:bookmarkEnd w:id="203"/>
    </w:p>
    <w:p w14:paraId="69FD2420" w14:textId="730B31D0"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A component which has been maintained off the aircraft needs the issuance of a certificate of release to service for such maintenance and another certificate of release to service in regard to being installed properly on the aircraft when such action occurs. When an organisation maintains a component for use by the same organisation,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may not be necessary depending upon the organisation’s internal release procedures defined in the maintenance organisation exposition.</w:t>
      </w:r>
    </w:p>
    <w:p w14:paraId="2F5FC322" w14:textId="1B67C44F"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    In the case of the issue of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for components in storage before Part-145 and Part-21 became effective and not released on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or equivalent in accordance with 145.A.42(a) or removed serviceable from a serviceable aircraft or an aircraft which has been withdrawn from service the following applies: 2.1.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may be issued for an aircraft component which has been:</w:t>
      </w:r>
    </w:p>
    <w:p w14:paraId="07CDAB3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Maintained before Part-145 became effective or manufactured before Part-21 became effective.</w:t>
      </w:r>
    </w:p>
    <w:p w14:paraId="782E623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Used on an aircraft and removed in a serviceable condition. Examples include leased and loaned aircraft components.</w:t>
      </w:r>
    </w:p>
    <w:p w14:paraId="267A3D1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Removed from aircraft which have been withdrawn from service, or from aircraft which have been involved in abnormal occurrences such as accidents, incidents, heavy landings or lightning strikes.</w:t>
      </w:r>
    </w:p>
    <w:p w14:paraId="3A862087" w14:textId="74AF0A1E"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Maintained by an unapproved organisation. 2.2.   An appropriately rated maintenance organisation approved under Part-145 may issue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as detailed in this AMC subparagraph 2.5 to 2.9, as appropriate, in accordance with procedures detailed in the exposition as approved by the competent</w:t>
      </w:r>
    </w:p>
    <w:p w14:paraId="469AA2F9" w14:textId="1A27063A"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authority. The appropriately rated organisation is responsible for ensuring that all reasonable measures have been taken to ensure that only approved and serviceable aircraft components are issued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under this paragraph. 2.3.   For the purposes of this AMC No 2 only, appropriately rated means an organisation with an approval class rating for the type of component or for the product in which it may be installed. 2.4.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issued in accordance with this paragraph 2 should be issued by signing in block 14b and stating ‘Inspected/Tested’ in block 11. In addition, block 12 should specify: 2.4.1. When the last maintenance was carried out and by whom. 2.4.2. If the component is unused, when the component was manufactured and by whom with a cross-reference to any original documentation which should be included with the Form.</w:t>
      </w:r>
    </w:p>
    <w:p w14:paraId="356B12A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2.4.3. A list of all airworthiness directives, repairs and modifications known to have been</w:t>
      </w:r>
    </w:p>
    <w:p w14:paraId="37454547" w14:textId="77777777" w:rsidR="00A46781"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incorporated. If no airworthiness directives or repairs or modifications are known to be incorporated, then this should be so stated. 2.4.4. Detail of life used for life-limited parts and time-controlled components being any combination of fatigue, overhaul or storage life. 2.4.5. For any aircraft component having its own maintenance history record, reference to the particular maintenance history record as long as the record contains the details that would otherwise be required in block 12. The maintenance history record and acceptance test report or statement, if applicable, should be attached to the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w:t>
      </w:r>
    </w:p>
    <w:p w14:paraId="70ACEFC2" w14:textId="77777777" w:rsidR="00A46781"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2.5.   New/unused aircraft components </w:t>
      </w:r>
    </w:p>
    <w:p w14:paraId="2B05F09A" w14:textId="77777777" w:rsidR="00A46781"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2.5.1. Any unused aircraft component in storage without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up to the effective date(s) for Part-21 that was manufactured by an organisation acceptable to the competent authority at that time may be issued with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by an appropriately rated maintenance organisation approved under Part-145. The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should be issued in accordance with the following </w:t>
      </w:r>
      <w:r w:rsidRPr="00AD3643">
        <w:rPr>
          <w:rFonts w:ascii="Times New Roman" w:hAnsi="Times New Roman" w:cs="Times New Roman"/>
          <w:sz w:val="24"/>
          <w:szCs w:val="24"/>
          <w:lang w:val="en-US"/>
        </w:rPr>
        <w:lastRenderedPageBreak/>
        <w:t xml:space="preserve">subparagraphs which should be included in a procedure within the maintenance organisation manual. </w:t>
      </w:r>
    </w:p>
    <w:p w14:paraId="67B89073" w14:textId="71A88606"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Note 1: It should be understood that the release of a stored but unused aircraft component in accordance with this paragraph represents a maintenance release under Part-145 and not a production release under Part-21. It is not intended to bypass the production release procedure agreed by the </w:t>
      </w:r>
      <w:r w:rsidR="005038E9">
        <w:rPr>
          <w:rFonts w:ascii="Times New Roman" w:hAnsi="Times New Roman" w:cs="Times New Roman"/>
          <w:sz w:val="24"/>
          <w:szCs w:val="24"/>
          <w:lang w:val="en-US"/>
        </w:rPr>
        <w:t>s</w:t>
      </w:r>
      <w:r w:rsidRPr="00AD3643">
        <w:rPr>
          <w:rFonts w:ascii="Times New Roman" w:hAnsi="Times New Roman" w:cs="Times New Roman"/>
          <w:sz w:val="24"/>
          <w:szCs w:val="24"/>
          <w:lang w:val="en-US"/>
        </w:rPr>
        <w:t xml:space="preserve">tate for parts and subassemblies intended for fitment on the </w:t>
      </w:r>
      <w:r w:rsidR="00700F91">
        <w:rPr>
          <w:rFonts w:ascii="Times New Roman" w:hAnsi="Times New Roman" w:cs="Times New Roman"/>
          <w:sz w:val="24"/>
          <w:szCs w:val="24"/>
          <w:lang w:val="en-US"/>
        </w:rPr>
        <w:t>m</w:t>
      </w:r>
      <w:r w:rsidRPr="00AD3643">
        <w:rPr>
          <w:rFonts w:ascii="Times New Roman" w:hAnsi="Times New Roman" w:cs="Times New Roman"/>
          <w:sz w:val="24"/>
          <w:szCs w:val="24"/>
          <w:lang w:val="en-US"/>
        </w:rPr>
        <w:t>anufacturers’ own production line.</w:t>
      </w:r>
    </w:p>
    <w:p w14:paraId="2E8A738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An acceptance test report or statement should be available for all used and unused aircraft components that are subjected to acceptance testing after manufacturing or maintenance as appropriate.</w:t>
      </w:r>
    </w:p>
    <w:p w14:paraId="107FD80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aircraft component should be inspected for compliance with the manufacturer’s instructions and limitations for storage and condition including any requirement for limited storage life, inhibitors, controlled climate and special storage containers. In addition or in the absence of specific storage instructions the aircraft component should be inspected for damage, corrosion and leakage to ensure good condition.</w:t>
      </w:r>
    </w:p>
    <w:p w14:paraId="138EEB98" w14:textId="1C538435"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    The storage life used of any storage life-limited parts should be established. 2.5.2. If it is not possible to establish satisfactory compliance with all applicable conditions specified in subparagraph 2.5.1(a) to (c) inclusive, the aircraft component should be disassembled by an appropriately rated organisation and subjected to a check for incorporated airworthiness directives, repairs and modifications and inspected/tested in accordance with the maintenance data to establish satisfactory condition and, if relevant, all seals, lubricants and life-limited parts should be replaced. Upon satisfactory completion after reassembly,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may be issued stating what was carried out and the reference of the maintenance data included.</w:t>
      </w:r>
    </w:p>
    <w:p w14:paraId="1D18F890" w14:textId="77777777" w:rsidR="005038E9"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2.6.   Used aircraft components removed from a serviceable aircraft </w:t>
      </w:r>
    </w:p>
    <w:p w14:paraId="6CF0ED66" w14:textId="7281FD31"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2.6.1. Serviceable aircraft components removed from a registered aircraft may be issued with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by an appropriately rated organisation subject to compliance with this subparagraph.</w:t>
      </w:r>
    </w:p>
    <w:p w14:paraId="71D0515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organisation should ensure that the component was removed from the aircraft by an appropriately qualified person.</w:t>
      </w:r>
    </w:p>
    <w:p w14:paraId="5FCCACF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aircraft component may only be deemed serviceable if the last flight operation with the component fitted revealed no faults on that component/related system.</w:t>
      </w:r>
    </w:p>
    <w:p w14:paraId="4A13D15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aircraft component should be inspected for satisfactory condition including in particular damage, corrosion or leakage and compliance with any additional maintenance data.</w:t>
      </w:r>
    </w:p>
    <w:p w14:paraId="755332D3" w14:textId="6ED2D1B4"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(d)    The aircraft record should be researched for any unusual events that could affect the serviceability of the aircraft component such as involvement in accidents, incidents, heavy landings or lightning strikes. Under no circumstances may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be issued in accordance with this paragraph 2.6 if it is suspected that the aircraft component has been subjected to extremes of stress, temperatures or immersion which could affect its operation.</w:t>
      </w:r>
    </w:p>
    <w:p w14:paraId="13D1AD4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 maintenance history record should be available for all used serialised aircraft components.</w:t>
      </w:r>
    </w:p>
    <w:p w14:paraId="6DF17AE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Compliance with known modifications and repairs should be established.</w:t>
      </w:r>
    </w:p>
    <w:p w14:paraId="640497E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The flight hours/cycles/landings as applicable of any life-limited parts and time-controlled components including time since overhaul should be established.</w:t>
      </w:r>
    </w:p>
    <w:p w14:paraId="1F455F4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Compliance with known applicable airworthiness directives should be established.</w:t>
      </w:r>
    </w:p>
    <w:p w14:paraId="3CDE4D0D" w14:textId="77777777" w:rsidR="00162564"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 xml:space="preserve">(i)    Subject to satisfactory compliance with this subparagraph 2.6.1,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may be issued and should contain the information as specified in paragraph 2.4 including the aircraft from which the aircraft component was removed. </w:t>
      </w:r>
    </w:p>
    <w:p w14:paraId="6325460B" w14:textId="77777777" w:rsidR="00BE0B1C"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2.6.2. Serviceable aircraft components removed from a non-</w:t>
      </w:r>
      <w:r w:rsidR="00162564">
        <w:rPr>
          <w:rFonts w:ascii="Times New Roman" w:hAnsi="Times New Roman" w:cs="Times New Roman"/>
          <w:sz w:val="24"/>
          <w:szCs w:val="24"/>
          <w:lang w:val="en-US"/>
        </w:rPr>
        <w:t>EU</w:t>
      </w:r>
      <w:r w:rsidRPr="00AD3643">
        <w:rPr>
          <w:rFonts w:ascii="Times New Roman" w:hAnsi="Times New Roman" w:cs="Times New Roman"/>
          <w:sz w:val="24"/>
          <w:szCs w:val="24"/>
          <w:lang w:val="en-US"/>
        </w:rPr>
        <w:t xml:space="preserve"> State registered aircraft may only be issued with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if the components are leased or loaned from the maintenance organisation approved under Part-145 who retains control of the airworthiness status of the components.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may be issued and should contain the information as specified in paragraph 2.4 including the aircraft from which the aircraft component was removed. </w:t>
      </w:r>
    </w:p>
    <w:p w14:paraId="4365DEA5" w14:textId="0573B983"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2.7.   Used aircraft components removed from an aircraft withdrawn from service. Serviceable aircraft components removed from a registered aircraft withdrawn from service may be issued with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by a maintenance organisation approved under Part-145 subject to compliance with this subparagraph.</w:t>
      </w:r>
    </w:p>
    <w:p w14:paraId="361B395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Aircraft withdrawn from service are sometimes dismantled for spares. This is considered to be a maintenance activity and should be accomplished under the</w:t>
      </w:r>
    </w:p>
    <w:p w14:paraId="4D73401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control of an organisation approved under Part-145, employing procedures approved by the competent authority.</w:t>
      </w:r>
    </w:p>
    <w:p w14:paraId="596F178F" w14:textId="1D8E4C0F"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   To be eligible for installation, components removed from such aircraft may be issued with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by an appropriately rated organisation following a satisfactory assessment.</w:t>
      </w:r>
    </w:p>
    <w:p w14:paraId="15E7BB4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As a minimum, the assessment will need to satisfy the standards set out in paragraphs 2.5 and 2.6 as appropriate. This should, where known, include the possible need for the alignment of scheduled maintenance that may be necessary to comply with the maintenance programme applicable to the aircraft on which the component is to be installed.</w:t>
      </w:r>
    </w:p>
    <w:p w14:paraId="7608E6C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Irrespective of whether the aircraft holds a certificate of airworthiness or not, the organisation responsible for certifying any removed component should ensure that the manner in which the components were removed and stored are compatible with the standards required by Part-145.</w:t>
      </w:r>
    </w:p>
    <w:p w14:paraId="4E89C1B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 structured plan should be formulated to control the aircraft disassembly process. The disassembly is to be carried out by an appropriately rated organisation under the supervision of certifying staff who will ensure that the aircraft components are removed and documented in a structured manner in accordance with the appropriate maintenance data and disassembly plan.</w:t>
      </w:r>
    </w:p>
    <w:p w14:paraId="15D9ABD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All recorded aircraft defects should be reviewed and the possible effects these may have on both normal and standby functions of removed components are to be considered.</w:t>
      </w:r>
    </w:p>
    <w:p w14:paraId="5AA2954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Dedicated control documentation is to be used as detailed by the disassembly plan, to facilitate the recording of all maintenance actions and component removals performed during the disassembly process. Components found to be unserviceable are to be identified as such and quarantined pending a decision on the actions to be taken. Records of the maintenance accomplished to establish serviceability are to form part of the component maintenance history.</w:t>
      </w:r>
    </w:p>
    <w:p w14:paraId="2A45786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(h)   Suitable Part-145 facilities for the removal and storage of removed components are to be used which include suitable environmental conditions, lighting, access equipment, aircraft tooling and storage facilities for the work to be undertaken. While it may be acceptable for components to be removed, given local environmental conditions, without the benefit of an enclosed facility, subsequent disassembly (if required) and storage of the components should be in accordance with the manufacturer’s recommendations. 2.8.   Used aircraft components maintained by organisations not approved in accordance with Part-145. For used components maintained by a maintenance organisation not approved under Part-145, due care should be taken before acceptance of such </w:t>
      </w:r>
      <w:r w:rsidRPr="00AD3643">
        <w:rPr>
          <w:rFonts w:ascii="Times New Roman" w:hAnsi="Times New Roman" w:cs="Times New Roman"/>
          <w:sz w:val="24"/>
          <w:szCs w:val="24"/>
          <w:lang w:val="en-US"/>
        </w:rPr>
        <w:lastRenderedPageBreak/>
        <w:t>components. In such cases an appropriately rated maintenance organisation approved under Part-145 should establish satisfactory conditions by:</w:t>
      </w:r>
    </w:p>
    <w:p w14:paraId="4629807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dismantling the component for sufficient inspection in accordance with the appropriate maintenance data;</w:t>
      </w:r>
    </w:p>
    <w:p w14:paraId="4132BFD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replacing all life-limited parts and time-controlled components when no satisfactory evidence of life used is available and/or the components are in an unsatisfactory condition;</w:t>
      </w:r>
    </w:p>
    <w:p w14:paraId="52F61D5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reassembling and testing as necessary the component;</w:t>
      </w:r>
    </w:p>
    <w:p w14:paraId="46D0F0C5" w14:textId="20B01121"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(d)    completing all certification requirements as specified in 145.A.50. 2.9.   Used aircraft components removed from an aircraft involved in an accident or incident. Such components should only be issued with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when processed in accordance with paragraph 2.7 and a specific work order including all additional necessary tests and inspections deemed necessary by the accident or incident. Such a work order may require input from the TC holder or the declarant of a declaration of design compliance or original manufacturer as appropriate. This work order should be referenced in block 12.</w:t>
      </w:r>
    </w:p>
    <w:p w14:paraId="58B17EB2" w14:textId="69C0B7FF" w:rsidR="00E52167" w:rsidRPr="00AD3643" w:rsidRDefault="00E52167" w:rsidP="00C95D06">
      <w:pPr>
        <w:pStyle w:val="Heading2"/>
        <w:spacing w:after="0"/>
        <w:jc w:val="both"/>
        <w:rPr>
          <w:rFonts w:ascii="Times New Roman" w:hAnsi="Times New Roman" w:cs="Times New Roman"/>
          <w:sz w:val="24"/>
          <w:szCs w:val="24"/>
          <w:lang w:val="en-US"/>
        </w:rPr>
      </w:pPr>
      <w:bookmarkStart w:id="204" w:name="toc_sec_0094"/>
      <w:bookmarkStart w:id="205" w:name="_Toc241066110"/>
      <w:r w:rsidRPr="00AD3643">
        <w:rPr>
          <w:rFonts w:ascii="Times New Roman" w:hAnsi="Times New Roman" w:cs="Times New Roman"/>
          <w:sz w:val="24"/>
          <w:szCs w:val="24"/>
          <w:lang w:val="en-US"/>
        </w:rPr>
        <w:t xml:space="preserve">GM 145.A.50(d)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1 Block 12 ‘Remarks’</w:t>
      </w:r>
      <w:bookmarkEnd w:id="204"/>
      <w:bookmarkEnd w:id="205"/>
    </w:p>
    <w:p w14:paraId="075FAFE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Examples of data to be entered in this block as appropriate:</w:t>
      </w:r>
    </w:p>
    <w:p w14:paraId="7CEC6B6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Maintenance documentation used, including the revision status, for all work performed and not limited to the entry made in block 11.</w:t>
      </w:r>
    </w:p>
    <w:p w14:paraId="14E19F5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statement such as ‘in accordance with the CMM’ is not acceptable.</w:t>
      </w:r>
    </w:p>
    <w:p w14:paraId="2EA9D02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NDT methods with appropriate documentation used when relevant.</w:t>
      </w:r>
    </w:p>
    <w:p w14:paraId="43A326F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Compliance with airworthiness directives or service bulletins.</w:t>
      </w:r>
    </w:p>
    <w:p w14:paraId="651A671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Repairs carried out.</w:t>
      </w:r>
    </w:p>
    <w:p w14:paraId="40F187E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Modifications carried out.</w:t>
      </w:r>
    </w:p>
    <w:p w14:paraId="0CF7FC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Replacement parts installed.</w:t>
      </w:r>
    </w:p>
    <w:p w14:paraId="209C4C2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Life-limited parts status.</w:t>
      </w:r>
    </w:p>
    <w:p w14:paraId="27212F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Shelf life limitations.</w:t>
      </w:r>
    </w:p>
    <w:p w14:paraId="3F2D22A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Deviations from the customer work order.</w:t>
      </w:r>
    </w:p>
    <w:p w14:paraId="41985C5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Release statements to satisfy a foreign Civil Aviation Authority maintenance requirement.</w:t>
      </w:r>
    </w:p>
    <w:p w14:paraId="0D1AEAA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Information needed to support shipment with shortages or re-assembly after delivery.</w:t>
      </w:r>
    </w:p>
    <w:p w14:paraId="5CA9680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References to aid traceability, such as batch numbers.</w:t>
      </w:r>
    </w:p>
    <w:p w14:paraId="6A08C07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06" w:name="toc_sec_0095"/>
      <w:bookmarkStart w:id="207" w:name="_Toc241066111"/>
      <w:r w:rsidRPr="00AD3643">
        <w:rPr>
          <w:rFonts w:ascii="Times New Roman" w:hAnsi="Times New Roman" w:cs="Times New Roman"/>
          <w:sz w:val="24"/>
          <w:szCs w:val="24"/>
          <w:lang w:val="en-US"/>
        </w:rPr>
        <w:t>AMC1 145.A.50(e) Certification of maintenance</w:t>
      </w:r>
      <w:bookmarkEnd w:id="206"/>
      <w:bookmarkEnd w:id="207"/>
    </w:p>
    <w:p w14:paraId="54CB817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Being unable to establish full compliance with point 145.A.50(a) means that the maintenance required by the person or organisation responsible for the aircraft continuing airworthiness could not be completed due to either running out of available aircraft maintenance downtime for the scheduled check, or by virtue of the condition of the aircraft requiring additional maintenance downtime, or because the maintenance data requires a flight to be performed as part of the maintenance, as described in paragraph 4.</w:t>
      </w:r>
    </w:p>
    <w:p w14:paraId="1E32B48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person or organisation responsible for the aircraft continuing airworthiness is responsible for ensuring that all required maintenance has been carried out before flight and therefore 145.A.50(e) requires such person or organisation to be informed in the case where full compliance with 145.A.50(a) cannot be achieved within the relevant limitations. If that person</w:t>
      </w:r>
    </w:p>
    <w:p w14:paraId="1A449A6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or organisation agrees to the deferment of full compliance, then the certificate of release to service may be issued subject to details of the deferment, including the competent authority of the State of Registry, being endorsed on the certificate. Note: Whether or not the person or organisation responsible for the aircraft continuing airworthiness does have the authority to defer maintenance is an issue between that person or organisation and the competent authority of the State of Registry. In case of doubt concerning such a decision, the approved maintenance organisation should inform its competent authority of such doubt, before issuing the certificate of release to service. This will allow this competent authority to investigate the matter with the competent authority of the State of Registry or the State of the operator as appropriate.</w:t>
      </w:r>
    </w:p>
    <w:p w14:paraId="54E32DF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procedure should draw attention to the fact that 145.A.50(a) does not normally permit the issue of a certificate of release to service in the case of non-compliance and should state what action the mechanic, supervisor and certifying staff should take to bring the matter to the attention of the relevant department or person responsible for technical co-ordination with the person or organisation responsible for the aircraft continuing airworthiness so that the issue may be discussed and resolved with that person or organisation. In addition, the appropriate person(s) as specified in point 145.A.30(b) should be kept informed in writing of such possible non-compliance situations and this should be included in the procedure.</w:t>
      </w:r>
    </w:p>
    <w:p w14:paraId="2A6735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Certain maintenance data issued by the design approval holder or the declarant of a declaration of design compliance (e.g. aircraft maintenance manual (AMM)) requires that a maintenance task be performed in flight as a necessary condition to complete the maintenance ordered. Within the aircraft limitations, an appropriately authorised certifying staff should release the incomplete maintenance before the flight on behalf of the maintenance organisation. GM M.A.301(i) or GM1 ML.A.301(f) describe the relations with the aircraft operator, which retains the responsibility for the maintenance check flight (MCF). After performing the flight and any additional maintenance necessary to complete the maintenance ordered, a certificate of release to service should be issued in accordance with 145.A.50(a).</w:t>
      </w:r>
    </w:p>
    <w:p w14:paraId="547A32A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08" w:name="toc_sec_0096"/>
      <w:bookmarkStart w:id="209" w:name="_Toc241066112"/>
      <w:r w:rsidRPr="00AD3643">
        <w:rPr>
          <w:rFonts w:ascii="Times New Roman" w:hAnsi="Times New Roman" w:cs="Times New Roman"/>
          <w:sz w:val="24"/>
          <w:szCs w:val="24"/>
          <w:lang w:val="en-US"/>
        </w:rPr>
        <w:t>AMC1 145.A.50(f) Certification of maintenance</w:t>
      </w:r>
      <w:bookmarkEnd w:id="208"/>
      <w:bookmarkEnd w:id="209"/>
    </w:p>
    <w:p w14:paraId="6DB0A96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Suitable release certificate means a certificate which clearly states that the aircraft component is serviceable; that clearly specifies the organisation releasing said component together with details of the authority under whose approval the organisation works including the approval or authorisation reference.</w:t>
      </w:r>
    </w:p>
    <w:p w14:paraId="2D5FFB6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‘Compliance with all applicable maintenance and operational requirements’ means, in particular, making an appropriate entry in the aircraft continuing airworthiness record system or if applicable, in the aircraft technical log system, checking the compatibility of the component with the aircraft approved design, including modifications, repairs, airworthiness directives, life limitations and condition of the aircraft component plus information on where, when and why the aircraft was grounded.</w:t>
      </w:r>
    </w:p>
    <w:p w14:paraId="563DA68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10" w:name="toc_sec_0097"/>
      <w:bookmarkStart w:id="211" w:name="_Toc241066113"/>
      <w:r w:rsidRPr="00AD3643">
        <w:rPr>
          <w:rFonts w:ascii="Times New Roman" w:hAnsi="Times New Roman" w:cs="Times New Roman"/>
          <w:sz w:val="24"/>
          <w:szCs w:val="24"/>
          <w:lang w:val="en-US"/>
        </w:rPr>
        <w:t>AMC1 145.A.55 Record-keeping</w:t>
      </w:r>
      <w:bookmarkEnd w:id="210"/>
      <w:bookmarkEnd w:id="211"/>
    </w:p>
    <w:p w14:paraId="64E64DA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record-keeping system should ensure that all records are accessible within a reasonable time whenever they are needed. These records should be organised in a manner that ensures their traceability and retrievability throughout the required retention period.</w:t>
      </w:r>
    </w:p>
    <w:p w14:paraId="723CF6D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(b)   Records should be kept in paper form, or in electronic format, or a combination of the two. Records that are stored on microfilm or in optical disc formats are also acceptable. The records should remain legible throughout the required retention period. The retention period starts when the record is created or was last amended.</w:t>
      </w:r>
    </w:p>
    <w:p w14:paraId="27D6C91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Paper systems should use robust materials which can withstand normal handling and filing. Computer record systems should have at least one backup system, which should be updated within 24 hours of any new entry. Computer record systems should include safeguards to prevent unauthorised personnel from altering the data.</w:t>
      </w:r>
    </w:p>
    <w:p w14:paraId="75EE0EC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All computer hardware that is used to ensure the backup of data should be stored in a different location from the one that contains the working data, and in an environment that ensures that the data remains in a good condition. When hardware or software changes take place, special care should be taken to ensure that all the necessary data continues to be accessible through at least the full period specified in the relevant provision. In the absence of any such indications, all records should be kept for a minimum period of 3 years.</w:t>
      </w:r>
    </w:p>
    <w:p w14:paraId="48B935A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12" w:name="toc_sec_0098"/>
      <w:bookmarkStart w:id="213" w:name="_Toc241066114"/>
      <w:r w:rsidRPr="00AD3643">
        <w:rPr>
          <w:rFonts w:ascii="Times New Roman" w:hAnsi="Times New Roman" w:cs="Times New Roman"/>
          <w:sz w:val="24"/>
          <w:szCs w:val="24"/>
          <w:lang w:val="en-US"/>
        </w:rPr>
        <w:t>GM1 145.A.55 Record-keeping</w:t>
      </w:r>
      <w:bookmarkEnd w:id="212"/>
      <w:bookmarkEnd w:id="213"/>
    </w:p>
    <w:p w14:paraId="67A5829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RECORDS</w:t>
      </w:r>
    </w:p>
    <w:p w14:paraId="538F2A1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Microfilming or optical storage of records may be carried out at any time. The records should be as</w:t>
      </w:r>
    </w:p>
    <w:p w14:paraId="364E119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legible as the original record, and remain so for the required retention period.</w:t>
      </w:r>
    </w:p>
    <w:p w14:paraId="6C059CE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14" w:name="toc_sec_0099"/>
      <w:bookmarkStart w:id="215" w:name="_Toc241066115"/>
      <w:r w:rsidRPr="00AD3643">
        <w:rPr>
          <w:rFonts w:ascii="Times New Roman" w:hAnsi="Times New Roman" w:cs="Times New Roman"/>
          <w:sz w:val="24"/>
          <w:szCs w:val="24"/>
          <w:lang w:val="en-US"/>
        </w:rPr>
        <w:t>GM1 145.A.55(a)(1) Record-keeping</w:t>
      </w:r>
      <w:bookmarkEnd w:id="214"/>
      <w:bookmarkEnd w:id="215"/>
    </w:p>
    <w:p w14:paraId="63461186"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MAINTENANCE RECORDS</w:t>
      </w:r>
    </w:p>
    <w:p w14:paraId="121B34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Properly executed and retained maintenance records provide:</w:t>
      </w:r>
    </w:p>
    <w:p w14:paraId="38BE83A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owners and persons or organisations responsible for aircraft continuing airworthiness with information essential in establishing the airworthiness status of aircraft or component, and in particular, in controlling unscheduled and scheduled maintenance;</w:t>
      </w:r>
    </w:p>
    <w:p w14:paraId="7FCDEAA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maintenance personnel with information essential for troubleshooting eliminating the need for re-inspection and rework. The prime objective is to have secure and easily retrievable records with comprehensive and legible contents. The aircraft record should contain basic details of all serialised aircraft components and all other significant aircraft components installed during the maintenance performed, to ensure traceability to such installed aircraft component documentation, associated maintenance data and data for modifications and repairs.</w:t>
      </w:r>
    </w:p>
    <w:p w14:paraId="19B0A12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Some gas turbine engines are assembled from modules, and a true total time in service for a total engine is not kept. When it is desirable to take advantage of the modular design, then the total time in service and the maintenance records for each module are to be maintained. The maintenance records as specified are to be kept with the module and should show compliance with any mandatory requirements pertaining to that module.</w:t>
      </w:r>
    </w:p>
    <w:p w14:paraId="28221DF8"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16" w:name="toc_sec_0100"/>
      <w:bookmarkStart w:id="217" w:name="_Toc241066116"/>
      <w:r w:rsidRPr="00AD3643">
        <w:rPr>
          <w:rFonts w:ascii="Times New Roman" w:hAnsi="Times New Roman" w:cs="Times New Roman"/>
          <w:sz w:val="24"/>
          <w:szCs w:val="24"/>
          <w:lang w:val="en-US"/>
        </w:rPr>
        <w:t>AMC1 145.A.55(a)(3) Record-keeping</w:t>
      </w:r>
      <w:bookmarkEnd w:id="216"/>
      <w:bookmarkEnd w:id="217"/>
    </w:p>
    <w:p w14:paraId="3D5BA5D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‘Associated maintenance data’ refers to specific information such as data pertaining to embodiment</w:t>
      </w:r>
    </w:p>
    <w:p w14:paraId="7FF713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of a repair or modification data. This does not necessarily require the retention of all Aircraft</w:t>
      </w:r>
    </w:p>
    <w:p w14:paraId="44BDD8B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Manual, Component Maintenance Manual, IPC, etc. issued by the TC holder, the STC</w:t>
      </w:r>
    </w:p>
    <w:p w14:paraId="422F92D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holder or the declarant of a declaration of design compliance. Maintenance records should refer to</w:t>
      </w:r>
    </w:p>
    <w:p w14:paraId="3621EC7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the revision status of the data used.</w:t>
      </w:r>
    </w:p>
    <w:p w14:paraId="4E799CAC"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18" w:name="toc_sec_0101"/>
      <w:bookmarkStart w:id="219" w:name="_Toc241066117"/>
      <w:r w:rsidRPr="00AD3643">
        <w:rPr>
          <w:rFonts w:ascii="Times New Roman" w:hAnsi="Times New Roman" w:cs="Times New Roman"/>
          <w:sz w:val="24"/>
          <w:szCs w:val="24"/>
          <w:lang w:val="en-US"/>
        </w:rPr>
        <w:t>AMC1 145.A.55(d) Record-keeping</w:t>
      </w:r>
      <w:bookmarkEnd w:id="218"/>
      <w:bookmarkEnd w:id="219"/>
    </w:p>
    <w:p w14:paraId="7DB9BB9F"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RECORDS OF CERTIFYING STAFF AND SUPPORT STAFF</w:t>
      </w:r>
    </w:p>
    <w:p w14:paraId="595FC92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following minimum information, as applicable, should be kept on record in respect of certifying staff or support staff:</w:t>
      </w:r>
    </w:p>
    <w:p w14:paraId="4AB5E4D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Name;</w:t>
      </w:r>
    </w:p>
    <w:p w14:paraId="3F18107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Date of birth;</w:t>
      </w:r>
    </w:p>
    <w:p w14:paraId="193CD70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Basic training;</w:t>
      </w:r>
    </w:p>
    <w:p w14:paraId="4E124F6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Task training or product/type training;</w:t>
      </w:r>
    </w:p>
    <w:p w14:paraId="2F7C37A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Recurrent training;</w:t>
      </w:r>
    </w:p>
    <w:p w14:paraId="4B6F950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Experience;</w:t>
      </w:r>
    </w:p>
    <w:p w14:paraId="12B3F59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Qualifications relevant to the authorisation;</w:t>
      </w:r>
    </w:p>
    <w:p w14:paraId="1CE1A4D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Scope of the authorisation (role, product, level of maintenance, etc.);</w:t>
      </w:r>
    </w:p>
    <w:p w14:paraId="177D465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Date of first issue of the authorisation;</w:t>
      </w:r>
    </w:p>
    <w:p w14:paraId="3C002B9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(j)   Expiry date of the authorisation (if appropriate); and</w:t>
      </w:r>
    </w:p>
    <w:p w14:paraId="6D95B56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   Identification number of the authorisation.</w:t>
      </w:r>
    </w:p>
    <w:p w14:paraId="235CC69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record may be kept in any format but should be controlled by the organisation’s compliance monitoring function. This does not mean that the compliance monitoring manager should run the record system.</w:t>
      </w:r>
    </w:p>
    <w:p w14:paraId="393BAC6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number of persons authorised to access the system should be kept to a minimum to ensure that records cannot be altered in an unauthorised manner, and that such confidential records do not become accessible to any unauthorised persons.</w:t>
      </w:r>
    </w:p>
    <w:p w14:paraId="4152D16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competent authority is authorised to access personal records when investigating the records system for initial certification and oversight, or when the competent authority has cause to doubt the competency of a particular person.</w:t>
      </w:r>
    </w:p>
    <w:p w14:paraId="26528E61" w14:textId="1F4EB8BD" w:rsidR="00E52167" w:rsidRPr="00AD3643" w:rsidRDefault="00E52167" w:rsidP="00C95D06">
      <w:pPr>
        <w:pStyle w:val="Heading2"/>
        <w:spacing w:after="0"/>
        <w:jc w:val="both"/>
        <w:rPr>
          <w:rFonts w:ascii="Times New Roman" w:hAnsi="Times New Roman" w:cs="Times New Roman"/>
          <w:sz w:val="24"/>
          <w:szCs w:val="24"/>
          <w:lang w:val="en-US"/>
        </w:rPr>
      </w:pPr>
      <w:bookmarkStart w:id="220" w:name="toc_sec_0102"/>
      <w:bookmarkStart w:id="221" w:name="_Toc241066118"/>
      <w:r w:rsidRPr="00AD3643">
        <w:rPr>
          <w:rFonts w:ascii="Times New Roman" w:hAnsi="Times New Roman" w:cs="Times New Roman"/>
          <w:sz w:val="24"/>
          <w:szCs w:val="24"/>
          <w:lang w:val="en-US"/>
        </w:rPr>
        <w:t>AMC2 145.A.55(d) Record-keeping</w:t>
      </w:r>
      <w:bookmarkEnd w:id="220"/>
      <w:bookmarkEnd w:id="221"/>
    </w:p>
    <w:p w14:paraId="482CEB9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RECORDS OF AIRWORTHINESS REVIEW STAFF</w:t>
      </w:r>
    </w:p>
    <w:p w14:paraId="7E56DD3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following minimum information, as applicable, should be kept on record in respect of each</w:t>
      </w:r>
    </w:p>
    <w:p w14:paraId="65716D4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airworthiness review staff:</w:t>
      </w:r>
    </w:p>
    <w:p w14:paraId="4B79549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Name;</w:t>
      </w:r>
    </w:p>
    <w:p w14:paraId="08AE257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Date of birth;</w:t>
      </w:r>
    </w:p>
    <w:p w14:paraId="1BE09B4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Certifying staff authorisation;</w:t>
      </w:r>
    </w:p>
    <w:p w14:paraId="12B0CF9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Experience as certifying staff on aircraft covered by Part-ML;</w:t>
      </w:r>
    </w:p>
    <w:p w14:paraId="2419094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Qualifications relevant to the approval (knowledge of relevant parts of Part-ML, and knowledge of the relevant airworthiness review procedures);</w:t>
      </w:r>
    </w:p>
    <w:p w14:paraId="6F84F94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Scope of the airworthiness review authorisation and personal authorisation reference;</w:t>
      </w:r>
    </w:p>
    <w:p w14:paraId="5B5CCE0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Date of the first issue of the airworthiness review authorisation; and</w:t>
      </w:r>
    </w:p>
    <w:p w14:paraId="125887E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Expiry date of the airworthiness review authorisation (if appropriate).</w:t>
      </w:r>
    </w:p>
    <w:p w14:paraId="2F29445B" w14:textId="5E9BA976" w:rsidR="00E52167" w:rsidRPr="00AD3643" w:rsidRDefault="00E52167" w:rsidP="00C95D06">
      <w:pPr>
        <w:pStyle w:val="Heading2"/>
        <w:spacing w:after="0"/>
        <w:jc w:val="both"/>
        <w:rPr>
          <w:rFonts w:ascii="Times New Roman" w:hAnsi="Times New Roman" w:cs="Times New Roman"/>
          <w:sz w:val="24"/>
          <w:szCs w:val="24"/>
          <w:lang w:val="en-US"/>
        </w:rPr>
      </w:pPr>
      <w:bookmarkStart w:id="222" w:name="toc_sec_0103"/>
      <w:bookmarkStart w:id="223" w:name="_Toc241066119"/>
      <w:r w:rsidRPr="00AD3643">
        <w:rPr>
          <w:rFonts w:ascii="Times New Roman" w:hAnsi="Times New Roman" w:cs="Times New Roman"/>
          <w:sz w:val="24"/>
          <w:szCs w:val="24"/>
          <w:lang w:val="en-US"/>
        </w:rPr>
        <w:lastRenderedPageBreak/>
        <w:t>AMC1 145.A.60 Occurrence reporting</w:t>
      </w:r>
      <w:bookmarkEnd w:id="222"/>
      <w:bookmarkEnd w:id="223"/>
    </w:p>
    <w:p w14:paraId="5D302B94" w14:textId="7A5A2180"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   Where the organisation holds one or more additional organisation certificates within the scope of </w:t>
      </w:r>
      <w:r w:rsidR="006745FA">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and implementing acts:</w:t>
      </w:r>
    </w:p>
    <w:p w14:paraId="1C04A26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organisation may establish an integrated occurrence reporting system covering all certificate(s) held; and</w:t>
      </w:r>
    </w:p>
    <w:p w14:paraId="78D7613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single reports for occurrences should only be provided if the following conditions are met:</w:t>
      </w:r>
    </w:p>
    <w:p w14:paraId="79B9A1B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report includes all relevant information from the perspective of the different organisation certificates held;</w:t>
      </w:r>
    </w:p>
    <w:p w14:paraId="617D095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the report addresses all relevant specific mandatory data fields and clearly identifies all certificate holders for which the report is made; and</w:t>
      </w:r>
    </w:p>
    <w:p w14:paraId="14DC738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the competent authority for all certificates is the same and such single reporting was agreed with that competent authority.</w:t>
      </w:r>
    </w:p>
    <w:p w14:paraId="6848AD8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organisation should assign responsibility to one or more suitably qualified persons with clearly defined authority, for coordinating action on airworthiness occurrences and for initiating any necessary further investigation and follow-up activity.</w:t>
      </w:r>
    </w:p>
    <w:p w14:paraId="4734EED3" w14:textId="6C6C0563"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   If more than one person are assigned such responsibility, the organisation should identify a single person to act as the main focal point for ensuring that a single reporting channel is established to the accountable manager. This should in particular apply to organisations holding one or more additional organisation certificates within the scope of </w:t>
      </w:r>
      <w:r w:rsidR="006745FA">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and implementing acts where the occurrence reporting system is fully integrated with that required under the additional certificate(s) held.</w:t>
      </w:r>
    </w:p>
    <w:p w14:paraId="54BB00FF"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24" w:name="toc_sec_0104"/>
      <w:bookmarkStart w:id="225" w:name="_Toc241066120"/>
      <w:r w:rsidRPr="00AD3643">
        <w:rPr>
          <w:rFonts w:ascii="Times New Roman" w:hAnsi="Times New Roman" w:cs="Times New Roman"/>
          <w:sz w:val="24"/>
          <w:szCs w:val="24"/>
          <w:lang w:val="en-US"/>
        </w:rPr>
        <w:t>AMC2 145.A.60 Occurrence reporting</w:t>
      </w:r>
      <w:bookmarkEnd w:id="224"/>
      <w:bookmarkEnd w:id="225"/>
    </w:p>
    <w:p w14:paraId="2A9EFEC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organisation should share relevant safety-related occurrence reports with the design approval</w:t>
      </w:r>
    </w:p>
    <w:p w14:paraId="30A1B62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holder or the declarant of a declaration of design compliance of the aircraft or component in order to</w:t>
      </w:r>
    </w:p>
    <w:p w14:paraId="46D581B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enable it to issue appropriate service instructions and recommendations to all relevant parties. Liaison</w:t>
      </w:r>
    </w:p>
    <w:p w14:paraId="07DDD58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with the design approval holder or the declarant of a declaration of design compliance is</w:t>
      </w:r>
    </w:p>
    <w:p w14:paraId="645618B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recommended to establish whether published or proposed service information will resolve a problem</w:t>
      </w:r>
    </w:p>
    <w:p w14:paraId="55FE77B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 to obtain a solution to a particular problem.</w:t>
      </w:r>
    </w:p>
    <w:p w14:paraId="1E44C9BC"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26" w:name="toc_sec_0105"/>
      <w:bookmarkStart w:id="227" w:name="_Toc241066121"/>
      <w:r w:rsidRPr="00AD3643">
        <w:rPr>
          <w:rFonts w:ascii="Times New Roman" w:hAnsi="Times New Roman" w:cs="Times New Roman"/>
          <w:sz w:val="24"/>
          <w:szCs w:val="24"/>
          <w:lang w:val="en-US"/>
        </w:rPr>
        <w:t>GM1 145.A.60 Occurrence reporting</w:t>
      </w:r>
      <w:bookmarkEnd w:id="226"/>
      <w:bookmarkEnd w:id="227"/>
    </w:p>
    <w:p w14:paraId="0D0B9709"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MANDATORY REPORTING — GENERAL</w:t>
      </w:r>
    </w:p>
    <w:p w14:paraId="10ADFAEE" w14:textId="369DB666"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For organisations having their principal place of business in a</w:t>
      </w:r>
      <w:r w:rsidR="00915033">
        <w:rPr>
          <w:rFonts w:ascii="Times New Roman" w:hAnsi="Times New Roman" w:cs="Times New Roman"/>
          <w:sz w:val="24"/>
          <w:szCs w:val="24"/>
          <w:lang w:val="en-US"/>
        </w:rPr>
        <w:t xml:space="preserve"> RM</w:t>
      </w:r>
      <w:r w:rsidRPr="00AD3643">
        <w:rPr>
          <w:rFonts w:ascii="Times New Roman" w:hAnsi="Times New Roman" w:cs="Times New Roman"/>
          <w:sz w:val="24"/>
          <w:szCs w:val="24"/>
          <w:lang w:val="en-US"/>
        </w:rPr>
        <w:t xml:space="preserve">, </w:t>
      </w:r>
      <w:r w:rsidR="006745FA">
        <w:rPr>
          <w:rFonts w:ascii="Times New Roman" w:hAnsi="Times New Roman" w:cs="Times New Roman"/>
          <w:sz w:val="24"/>
          <w:szCs w:val="24"/>
          <w:lang w:val="en-US"/>
        </w:rPr>
        <w:t>RAC-RAASEAC</w:t>
      </w:r>
      <w:r w:rsidRPr="00AD3643">
        <w:rPr>
          <w:rFonts w:ascii="Times New Roman" w:hAnsi="Times New Roman" w:cs="Times New Roman"/>
          <w:sz w:val="24"/>
          <w:szCs w:val="24"/>
          <w:lang w:val="en-US"/>
        </w:rPr>
        <w:t xml:space="preserve"> lays down a list classifying occurrences in civil aviation to be mandatorily reported. This list should not be understood as being an exhaustive collection of all issues that may pose a significant risk to aviation safety and therefore reporting should not be limited to items listed in that </w:t>
      </w:r>
      <w:r w:rsidR="006745FA">
        <w:rPr>
          <w:rFonts w:ascii="Times New Roman" w:hAnsi="Times New Roman" w:cs="Times New Roman"/>
          <w:sz w:val="24"/>
          <w:szCs w:val="24"/>
          <w:lang w:val="en-US"/>
        </w:rPr>
        <w:t>RAC-RAASEAC</w:t>
      </w:r>
      <w:r w:rsidRPr="00AD3643">
        <w:rPr>
          <w:rFonts w:ascii="Times New Roman" w:hAnsi="Times New Roman" w:cs="Times New Roman"/>
          <w:sz w:val="24"/>
          <w:szCs w:val="24"/>
          <w:lang w:val="en-US"/>
        </w:rPr>
        <w:t>.</w:t>
      </w:r>
    </w:p>
    <w:p w14:paraId="7D803AF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AMC-20 ‘General Acceptable Means of Compliance for Airworthiness of Products, Parts and Appliances’ provides further details on occurrence reporting (AMC 20-8A).</w:t>
      </w:r>
    </w:p>
    <w:p w14:paraId="3B6268D9"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28" w:name="toc_sec_0106"/>
      <w:bookmarkStart w:id="229" w:name="_Toc241066122"/>
      <w:r w:rsidRPr="00AD3643">
        <w:rPr>
          <w:rFonts w:ascii="Times New Roman" w:hAnsi="Times New Roman" w:cs="Times New Roman"/>
          <w:sz w:val="24"/>
          <w:szCs w:val="24"/>
          <w:lang w:val="en-US"/>
        </w:rPr>
        <w:t>GM1 145.A.60(b) Occurrence reporting</w:t>
      </w:r>
      <w:bookmarkEnd w:id="228"/>
      <w:bookmarkEnd w:id="229"/>
    </w:p>
    <w:p w14:paraId="16C698F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Depending on the case, the organisation responsible for the design of the aircraft or component can</w:t>
      </w:r>
    </w:p>
    <w:p w14:paraId="5BE716C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be:</w:t>
      </w:r>
    </w:p>
    <w:p w14:paraId="4B6151A4" w14:textId="444BDFB2"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 xml:space="preserve">(a)   the ‘design approval holder’: it may be the holder of a type certificate, a restricted type certificate, a supplemental type certificate, a European Technical Standard Order (ETSO) authorisation, a major repair design approval, a major change design approval or any other relevant approval or authorisation for products, parts and appliances deemed to have been issued under </w:t>
      </w:r>
      <w:r w:rsidR="00B85555">
        <w:rPr>
          <w:rFonts w:ascii="Times New Roman" w:hAnsi="Times New Roman" w:cs="Times New Roman"/>
          <w:sz w:val="24"/>
          <w:szCs w:val="24"/>
          <w:lang w:val="en-US"/>
        </w:rPr>
        <w:t>GD 91/2024</w:t>
      </w:r>
      <w:r w:rsidRPr="00AD3643">
        <w:rPr>
          <w:rFonts w:ascii="Times New Roman" w:hAnsi="Times New Roman" w:cs="Times New Roman"/>
          <w:sz w:val="24"/>
          <w:szCs w:val="24"/>
          <w:lang w:val="en-US"/>
        </w:rPr>
        <w:t>;</w:t>
      </w:r>
    </w:p>
    <w:p w14:paraId="6F85E4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declarant of a declaration of design compliance made under Subpart C of Annex Ib (Part 21</w:t>
      </w:r>
    </w:p>
    <w:p w14:paraId="7EA5BAB1" w14:textId="7943F7AF"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Light) to </w:t>
      </w:r>
      <w:r w:rsidR="00B85555">
        <w:rPr>
          <w:rFonts w:ascii="Times New Roman" w:hAnsi="Times New Roman" w:cs="Times New Roman"/>
          <w:sz w:val="24"/>
          <w:szCs w:val="24"/>
          <w:lang w:val="en-US"/>
        </w:rPr>
        <w:t>GD 91/2024</w:t>
      </w:r>
      <w:r w:rsidRPr="00AD3643">
        <w:rPr>
          <w:rFonts w:ascii="Times New Roman" w:hAnsi="Times New Roman" w:cs="Times New Roman"/>
          <w:sz w:val="24"/>
          <w:szCs w:val="24"/>
          <w:lang w:val="en-US"/>
        </w:rPr>
        <w:t>.</w:t>
      </w:r>
    </w:p>
    <w:p w14:paraId="36F81ECC"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30" w:name="toc_sec_0107"/>
      <w:bookmarkStart w:id="231" w:name="_Toc241066123"/>
      <w:r w:rsidRPr="00AD3643">
        <w:rPr>
          <w:rFonts w:ascii="Times New Roman" w:hAnsi="Times New Roman" w:cs="Times New Roman"/>
          <w:sz w:val="24"/>
          <w:szCs w:val="24"/>
          <w:lang w:val="en-US"/>
        </w:rPr>
        <w:t>AMC1 145.A.65 Maintenance procedures</w:t>
      </w:r>
      <w:bookmarkEnd w:id="230"/>
      <w:bookmarkEnd w:id="231"/>
    </w:p>
    <w:p w14:paraId="2513A5D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Maintenance procedures should be kept up to date such that they reflect the current best practices within the organisation, while being compliant with the Regulation. All organisation’s employees should report differences via their organisation’s internal safety reporting scheme.</w:t>
      </w:r>
    </w:p>
    <w:p w14:paraId="7DCE390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All procedures, and changes to those procedures, should be verified and validated before use where practicable and applicable.</w:t>
      </w:r>
    </w:p>
    <w:p w14:paraId="6B6F323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All procedures should be designed and presented in accordance with good human factors principles.</w:t>
      </w:r>
    </w:p>
    <w:p w14:paraId="50308CCC" w14:textId="56D42A7D" w:rsidR="00E52167" w:rsidRPr="00AD3643" w:rsidRDefault="00E52167" w:rsidP="00C95D06">
      <w:pPr>
        <w:pStyle w:val="Heading2"/>
        <w:spacing w:after="0"/>
        <w:jc w:val="both"/>
        <w:rPr>
          <w:rFonts w:ascii="Times New Roman" w:hAnsi="Times New Roman" w:cs="Times New Roman"/>
          <w:sz w:val="24"/>
          <w:szCs w:val="24"/>
          <w:lang w:val="en-US"/>
        </w:rPr>
      </w:pPr>
      <w:bookmarkStart w:id="232" w:name="toc_sec_0108"/>
      <w:bookmarkStart w:id="233" w:name="_Toc241066124"/>
      <w:r w:rsidRPr="00AD3643">
        <w:rPr>
          <w:rFonts w:ascii="Times New Roman" w:hAnsi="Times New Roman" w:cs="Times New Roman"/>
          <w:sz w:val="24"/>
          <w:szCs w:val="24"/>
          <w:lang w:val="en-US"/>
        </w:rPr>
        <w:t>GM1 145.A.65 Maintenance procedures</w:t>
      </w:r>
      <w:bookmarkEnd w:id="232"/>
      <w:bookmarkEnd w:id="233"/>
    </w:p>
    <w:p w14:paraId="71965C8D"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HUMAN FACTORS PRINCIPLES</w:t>
      </w:r>
    </w:p>
    <w:p w14:paraId="3069836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following key points should be considered when designing and presenting technical procedures</w:t>
      </w:r>
    </w:p>
    <w:p w14:paraId="5AE231A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accordance with good human factors principles:</w:t>
      </w:r>
    </w:p>
    <w:p w14:paraId="329882F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design of procedures and changes should involve maintenance personnel who have a good working knowledge of the tasks;</w:t>
      </w:r>
    </w:p>
    <w:p w14:paraId="1FE5957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Ensuring that the procedures are accurate, appropriate and usable, and reflect best practices;</w:t>
      </w:r>
    </w:p>
    <w:p w14:paraId="45A334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Taking account of the level of expertise and experience of the user;</w:t>
      </w:r>
    </w:p>
    <w:p w14:paraId="211FC0D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Taking account of the environment in which the procedures are to be used;</w:t>
      </w:r>
    </w:p>
    <w:p w14:paraId="5A35161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Ensuring that all the key information is included without the procedure being unnecessarily complex;</w:t>
      </w:r>
    </w:p>
    <w:p w14:paraId="419DA6C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Where appropriate, explaining the reasons for the procedure;</w:t>
      </w:r>
    </w:p>
    <w:p w14:paraId="581511F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The order of the tasks and the steps should reflect best practices, with the procedure clearly stating where the order of steps is critical, and where changes to the order are acceptable;</w:t>
      </w:r>
    </w:p>
    <w:p w14:paraId="3B5FF8F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Ensuring consistency in the design of procedures and the use of terminology, abbreviations, references, etc.</w:t>
      </w:r>
    </w:p>
    <w:p w14:paraId="6BDFF93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For documents produced in the English language, using ‘simplified English’.</w:t>
      </w:r>
    </w:p>
    <w:p w14:paraId="4C2D65BB" w14:textId="2A420EC2" w:rsidR="00E52167" w:rsidRPr="00AD3643" w:rsidRDefault="00E52167" w:rsidP="00C95D06">
      <w:pPr>
        <w:pStyle w:val="Heading2"/>
        <w:spacing w:after="0"/>
        <w:jc w:val="both"/>
        <w:rPr>
          <w:rFonts w:ascii="Times New Roman" w:hAnsi="Times New Roman" w:cs="Times New Roman"/>
          <w:sz w:val="24"/>
          <w:szCs w:val="24"/>
          <w:lang w:val="en-US"/>
        </w:rPr>
      </w:pPr>
      <w:bookmarkStart w:id="234" w:name="toc_sec_0109"/>
      <w:bookmarkStart w:id="235" w:name="_Toc241066125"/>
      <w:r w:rsidRPr="00AD3643">
        <w:rPr>
          <w:rFonts w:ascii="Times New Roman" w:hAnsi="Times New Roman" w:cs="Times New Roman"/>
          <w:sz w:val="24"/>
          <w:szCs w:val="24"/>
          <w:lang w:val="en-US"/>
        </w:rPr>
        <w:t>GM2 145.A.65(b)(1) Maintenance procedures</w:t>
      </w:r>
      <w:bookmarkEnd w:id="234"/>
      <w:bookmarkEnd w:id="235"/>
    </w:p>
    <w:p w14:paraId="36B2005B" w14:textId="3C537696"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Appendix XI to AMC M.A.708(c) or Appendix IV to AMC1 CAMO.A.315(c) provide guidance on the</w:t>
      </w:r>
      <w:r w:rsidR="006745FA">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elements that need to be considered for the maintenance contract between the CAMO and the</w:t>
      </w:r>
    </w:p>
    <w:p w14:paraId="65C46C3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maintenance organisation. The Part-145 organisation should take into account these elements to</w:t>
      </w:r>
    </w:p>
    <w:p w14:paraId="3B77521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ensure that a clear contract or work order has been concluded before providing maintenance services.</w:t>
      </w:r>
    </w:p>
    <w:p w14:paraId="6B942DD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236" w:name="toc_sec_0110"/>
      <w:bookmarkStart w:id="237" w:name="_Toc241066126"/>
      <w:r w:rsidRPr="00AD3643">
        <w:rPr>
          <w:rFonts w:ascii="Times New Roman" w:hAnsi="Times New Roman" w:cs="Times New Roman"/>
          <w:sz w:val="24"/>
          <w:szCs w:val="24"/>
          <w:lang w:val="en-US"/>
        </w:rPr>
        <w:t>AMC1 145.A.65(b)(2) Maintenance procedures</w:t>
      </w:r>
      <w:bookmarkEnd w:id="236"/>
      <w:bookmarkEnd w:id="237"/>
    </w:p>
    <w:p w14:paraId="1DA3354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Specialised services include any specialised activity, such as, but not limited to, non-destructive testing</w:t>
      </w:r>
    </w:p>
    <w:p w14:paraId="193F15A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requiring particular skills and/or qualification. Point 145.A.30(f) covers the qualification of personnel</w:t>
      </w:r>
    </w:p>
    <w:p w14:paraId="242F222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but, in addition, there is a need to establish maintenance procedures that cover the control of any</w:t>
      </w:r>
    </w:p>
    <w:p w14:paraId="3F3E14A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specialised process.</w:t>
      </w:r>
    </w:p>
    <w:p w14:paraId="558905DF" w14:textId="2596CC04" w:rsidR="00E52167" w:rsidRPr="00AD3643" w:rsidRDefault="00E52167" w:rsidP="00C95D06">
      <w:pPr>
        <w:pStyle w:val="Heading2"/>
        <w:spacing w:after="0"/>
        <w:jc w:val="both"/>
        <w:rPr>
          <w:rFonts w:ascii="Times New Roman" w:hAnsi="Times New Roman" w:cs="Times New Roman"/>
          <w:sz w:val="24"/>
          <w:szCs w:val="24"/>
          <w:lang w:val="en-US"/>
        </w:rPr>
      </w:pPr>
      <w:bookmarkStart w:id="238" w:name="toc_sec_0111"/>
      <w:bookmarkStart w:id="239" w:name="_Toc241066127"/>
      <w:r w:rsidRPr="00AD3643">
        <w:rPr>
          <w:rFonts w:ascii="Times New Roman" w:hAnsi="Times New Roman" w:cs="Times New Roman"/>
          <w:sz w:val="24"/>
          <w:szCs w:val="24"/>
          <w:lang w:val="en-US"/>
        </w:rPr>
        <w:t>AMC1 145.A.70 Maintenance organisation exposition (MOE)</w:t>
      </w:r>
      <w:bookmarkEnd w:id="238"/>
      <w:bookmarkEnd w:id="239"/>
    </w:p>
    <w:p w14:paraId="04B30EF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Personnel should be familiar with those parts of the MOE that are relevant to their tasks.</w:t>
      </w:r>
    </w:p>
    <w:p w14:paraId="6451A9C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organisation should designate the person responsible for monitoring and amending the MOE, including associated procedures or manuals, in accordance with point 145.A.70(c).</w:t>
      </w:r>
    </w:p>
    <w:p w14:paraId="2BEA991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organisation may use electronic data processing (EDP) for the publication of the MOE. Attention should be paid to the compatibility of the EDP systems with the necessary dissemination, both internally and externally, of the MOE.</w:t>
      </w:r>
    </w:p>
    <w:p w14:paraId="6200263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When information is provided by reference (e.g. separate document, manual or electronic data file), the organisation should establish clear cross-reference to such documents or files in the MOE and have procedures for the management of these document or files.</w:t>
      </w:r>
    </w:p>
    <w:p w14:paraId="6A9F3C6E" w14:textId="4FC660F2" w:rsidR="00E52167" w:rsidRPr="00AD3643" w:rsidRDefault="00E52167" w:rsidP="00C95D06">
      <w:pPr>
        <w:pStyle w:val="Heading2"/>
        <w:spacing w:after="0"/>
        <w:jc w:val="both"/>
        <w:rPr>
          <w:rFonts w:ascii="Times New Roman" w:hAnsi="Times New Roman" w:cs="Times New Roman"/>
          <w:sz w:val="24"/>
          <w:szCs w:val="24"/>
          <w:lang w:val="en-US"/>
        </w:rPr>
      </w:pPr>
      <w:bookmarkStart w:id="240" w:name="toc_sec_0112"/>
      <w:bookmarkStart w:id="241" w:name="_Toc241066128"/>
      <w:r w:rsidRPr="00AD3643">
        <w:rPr>
          <w:rFonts w:ascii="Times New Roman" w:hAnsi="Times New Roman" w:cs="Times New Roman"/>
          <w:sz w:val="24"/>
          <w:szCs w:val="24"/>
          <w:lang w:val="en-US"/>
        </w:rPr>
        <w:t>GM1 145.A.70 Maintenance organisation exposition (MOE)</w:t>
      </w:r>
      <w:bookmarkEnd w:id="240"/>
      <w:bookmarkEnd w:id="241"/>
    </w:p>
    <w:p w14:paraId="79DE3C5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purpose of the MOE is to:</w:t>
      </w:r>
    </w:p>
    <w:p w14:paraId="5DBD195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specify the scope of work and show how the organisation intends to comply with this Annex; and</w:t>
      </w:r>
    </w:p>
    <w:p w14:paraId="3A82DD2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provide all the necessary information and procedures for the personnel of the organisation to perform their duties.</w:t>
      </w:r>
    </w:p>
    <w:p w14:paraId="4969F4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Complying with its contents will ensure that the organisation remains in compliance with Part- 145 and, as applicable, Part-M and/or Part-ML.</w:t>
      </w:r>
    </w:p>
    <w:p w14:paraId="749250AB" w14:textId="16DD136B" w:rsidR="00E52167" w:rsidRPr="00AD3643" w:rsidRDefault="00E52167" w:rsidP="00C95D06">
      <w:pPr>
        <w:pStyle w:val="Heading2"/>
        <w:spacing w:after="0"/>
        <w:jc w:val="both"/>
        <w:rPr>
          <w:rFonts w:ascii="Times New Roman" w:hAnsi="Times New Roman" w:cs="Times New Roman"/>
          <w:sz w:val="24"/>
          <w:szCs w:val="24"/>
          <w:lang w:val="en-US"/>
        </w:rPr>
      </w:pPr>
      <w:bookmarkStart w:id="242" w:name="toc_sec_0113"/>
      <w:bookmarkStart w:id="243" w:name="_Toc241066129"/>
      <w:r w:rsidRPr="00AD3643">
        <w:rPr>
          <w:rFonts w:ascii="Times New Roman" w:hAnsi="Times New Roman" w:cs="Times New Roman"/>
          <w:sz w:val="24"/>
          <w:szCs w:val="24"/>
          <w:lang w:val="en-US"/>
        </w:rPr>
        <w:t>AMC1 145.A.70(a) Maintenance organisation exposition (MOE)</w:t>
      </w:r>
      <w:bookmarkEnd w:id="242"/>
      <w:bookmarkEnd w:id="243"/>
    </w:p>
    <w:p w14:paraId="2C2D9BF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This AMC provides an outline of the layout of an acceptable MOE. Where an organisation uses a</w:t>
      </w:r>
    </w:p>
    <w:p w14:paraId="6CC4609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different format, for example, to allow the exposition to serve for more than one approval within the</w:t>
      </w:r>
    </w:p>
    <w:p w14:paraId="60C86B1F" w14:textId="151F9633"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scope of </w:t>
      </w:r>
      <w:r w:rsidR="006745FA">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then the exposition should contain an index that shows wherethe subject matter can be found in the exposition.</w:t>
      </w:r>
    </w:p>
    <w:p w14:paraId="03C2628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PART 1 GENERAL</w:t>
      </w:r>
    </w:p>
    <w:p w14:paraId="534A757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1.1   Statement by the accountable manager</w:t>
      </w:r>
    </w:p>
    <w:p w14:paraId="6A8A08D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1.2   Safety policy and objectives</w:t>
      </w:r>
    </w:p>
    <w:p w14:paraId="4C81DE1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1.3   Management personnel</w:t>
      </w:r>
    </w:p>
    <w:p w14:paraId="2D313AB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1.4   Duties and responsibilities of the management personnel</w:t>
      </w:r>
    </w:p>
    <w:p w14:paraId="54A5968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1.5   Management organisation chart</w:t>
      </w:r>
    </w:p>
    <w:p w14:paraId="6F8DA1E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1.6   List of certifying staff, support staff and airworthiness review staff</w:t>
      </w:r>
    </w:p>
    <w:p w14:paraId="2788C60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1.7   Manpower resources</w:t>
      </w:r>
    </w:p>
    <w:p w14:paraId="4520D8E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1.8   General description of the facilities at each address intended to be approved</w:t>
      </w:r>
    </w:p>
    <w:p w14:paraId="182EB74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1.9   Organisation’s intended scope of work</w:t>
      </w:r>
    </w:p>
    <w:p w14:paraId="533A7E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1.10 Procedures for changes (including MOE amendment) requiring prior approval</w:t>
      </w:r>
    </w:p>
    <w:p w14:paraId="061D890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1.11 Procedures for changes (including MOE amendment) not requiring prior approval</w:t>
      </w:r>
    </w:p>
    <w:p w14:paraId="361EC65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1.12 Procedure for alternative means of compliance (AltMoC)</w:t>
      </w:r>
    </w:p>
    <w:p w14:paraId="55AC71B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lastRenderedPageBreak/>
        <w:t>PART 2 MAINTENANCE PROCEDURES</w:t>
      </w:r>
    </w:p>
    <w:p w14:paraId="53935F7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   Supplier evaluation and subcontractor control procedure</w:t>
      </w:r>
    </w:p>
    <w:p w14:paraId="57C1ED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   Acceptance/inspection of aircraft components and material, and installation</w:t>
      </w:r>
    </w:p>
    <w:p w14:paraId="45C1848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2.3   Storage, tagging and delivery of components and material to maintenance</w:t>
      </w:r>
    </w:p>
    <w:p w14:paraId="2C06AD0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2.4   Acceptance of tools and equipment</w:t>
      </w:r>
    </w:p>
    <w:p w14:paraId="17299C6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2.5   Calibration of tools and equipment</w:t>
      </w:r>
    </w:p>
    <w:p w14:paraId="3262A6C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2.6   Use of tooling and equipment by staff (including alternate tools)</w:t>
      </w:r>
    </w:p>
    <w:p w14:paraId="0DA4644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2.7   Procedure for controlling working environment and facilities</w:t>
      </w:r>
    </w:p>
    <w:p w14:paraId="76A7BEA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2.8   Maintenance data and relationship to aircraft/aircraft component manufacturers’ instructions including updating and availability to staff</w:t>
      </w:r>
    </w:p>
    <w:p w14:paraId="1C4AC63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2.9   Acceptance, coordination and performance of repair works</w:t>
      </w:r>
    </w:p>
    <w:p w14:paraId="7BA418C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2.10 Acceptance, coordination and performance of scheduled maintenance works</w:t>
      </w:r>
    </w:p>
    <w:p w14:paraId="6158805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2.11 Acceptance, coordination and performance of airworthiness directives works</w:t>
      </w:r>
    </w:p>
    <w:p w14:paraId="1B40337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2.12 Acceptance, coordination and performance of modification works</w:t>
      </w:r>
    </w:p>
    <w:p w14:paraId="090430D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2.13 Maintenance documentation development, completion and sign-off</w:t>
      </w:r>
    </w:p>
    <w:p w14:paraId="00D3115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2.14 Technical record control</w:t>
      </w:r>
    </w:p>
    <w:p w14:paraId="3C4DBB0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2.15 Rectification of defects arising during maintenance</w:t>
      </w:r>
    </w:p>
    <w:p w14:paraId="0D0DF09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2.16 Release to service procedure</w:t>
      </w:r>
    </w:p>
    <w:p w14:paraId="6AD484E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2.17 Records for the person or organisation that ordered maintenance</w:t>
      </w:r>
    </w:p>
    <w:p w14:paraId="75FAC7B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2.18 Occurrence reporting</w:t>
      </w:r>
    </w:p>
    <w:p w14:paraId="30CD7E6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2.19 Return of defective aircraft components to store</w:t>
      </w:r>
    </w:p>
    <w:p w14:paraId="5676AF5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2.20 Defective components to outside contractors</w:t>
      </w:r>
    </w:p>
    <w:p w14:paraId="2231CE3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2.21 Control of computer maintenance record systems</w:t>
      </w:r>
    </w:p>
    <w:p w14:paraId="6BBFCDA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2.22 Control of man-hour planning versus scheduled maintenance work</w:t>
      </w:r>
    </w:p>
    <w:p w14:paraId="3841145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2.23 Critical maintenance tasks and error-capturing methods</w:t>
      </w:r>
    </w:p>
    <w:p w14:paraId="33B6794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2.24 Reference to specific procedures such as:</w:t>
      </w:r>
    </w:p>
    <w:p w14:paraId="7A5704D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Engine running procedures</w:t>
      </w:r>
    </w:p>
    <w:p w14:paraId="77625FF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Aircraft pressure run procedures</w:t>
      </w:r>
    </w:p>
    <w:p w14:paraId="14092E5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Aircraft towing procedures</w:t>
      </w:r>
    </w:p>
    <w:p w14:paraId="3F42EFA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Aircraft taxiing procedures</w:t>
      </w:r>
    </w:p>
    <w:p w14:paraId="05F0E12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2.25 Procedures to detect and rectify maintenance errors.</w:t>
      </w:r>
    </w:p>
    <w:p w14:paraId="04F9E52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2.26 Shift/task handover procedures</w:t>
      </w:r>
    </w:p>
    <w:p w14:paraId="01D85F5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2.27 Procedures for notification of maintenance data inaccuracies and ambiguities</w:t>
      </w:r>
    </w:p>
    <w:p w14:paraId="64CF18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2.28 Production planning and organising of maintenance activities</w:t>
      </w:r>
    </w:p>
    <w:p w14:paraId="77F0818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2.29 Airworthiness review procedures and records</w:t>
      </w:r>
    </w:p>
    <w:p w14:paraId="60A6DD6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2.30 Fabrication of parts</w:t>
      </w:r>
    </w:p>
    <w:p w14:paraId="7C87C6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2.31 Procedure for component maintenance under aircraft or engine rating</w:t>
      </w:r>
    </w:p>
    <w:p w14:paraId="7FD51F6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2.32 Maintenance away from approved locations</w:t>
      </w:r>
    </w:p>
    <w:p w14:paraId="2E23063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2.33 Procedure for assessment of work scope as line or base maintenance</w:t>
      </w:r>
    </w:p>
    <w:p w14:paraId="10B33F2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PART L2 ADDITIONAL LINE MAINTENANCE PROCEDURES (Part L2 may complement where necessary, procedures established in Part 2)</w:t>
      </w:r>
    </w:p>
    <w:p w14:paraId="478BAC9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L2.1 Line maintenance control of aircraft components, tools, equipment, etc.</w:t>
      </w:r>
    </w:p>
    <w:p w14:paraId="5467FCE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L2.2 Line maintenance procedures related to servicing/fuelling/de-icing, including inspection for/removal of de-icing/anti-icing fluid residues, etc.</w:t>
      </w:r>
    </w:p>
    <w:p w14:paraId="345D4B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L2.3 Line maintenance control of defects and repetitive defects</w:t>
      </w:r>
    </w:p>
    <w:p w14:paraId="7A26992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L2.4 Line procedure for completion of technical logs</w:t>
      </w:r>
    </w:p>
    <w:p w14:paraId="35CE990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L2.5 Line procedure for pooled parts and loaned parts</w:t>
      </w:r>
    </w:p>
    <w:p w14:paraId="51D27BF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L2.6 Line procedure for return of defective parts removed from aircraft</w:t>
      </w:r>
    </w:p>
    <w:p w14:paraId="12E9757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L2.7 Line procedure for critical maintenance tasks and error-capturing methods</w:t>
      </w:r>
    </w:p>
    <w:p w14:paraId="214C107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PART 3 MANAGEMENT SYSTEM PROCEDURES</w:t>
      </w:r>
    </w:p>
    <w:p w14:paraId="7E1FEA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   Hazard identification and safety risk management schemes</w:t>
      </w:r>
    </w:p>
    <w:p w14:paraId="297F072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3.2   Internal safety reporting and investigations</w:t>
      </w:r>
    </w:p>
    <w:p w14:paraId="0942067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3.3   Safety action planning</w:t>
      </w:r>
    </w:p>
    <w:p w14:paraId="44FEA58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3.4   Safety performance monitoring</w:t>
      </w:r>
    </w:p>
    <w:p w14:paraId="7821CD0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3.5   Change management</w:t>
      </w:r>
    </w:p>
    <w:p w14:paraId="43C3E90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3.6   Safety training (including human factors) and promotion</w:t>
      </w:r>
    </w:p>
    <w:p w14:paraId="4DCF76B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3.7   Immediate safety action and coordination with the operator’s emergency response plan (ERP)</w:t>
      </w:r>
    </w:p>
    <w:p w14:paraId="2B09A3F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3.8   Compliance monitoring 3.8.1 Audit plan and audit procedures 3.8.2 Product audit and inspections 3.8.3 Audit findings — corrective action procedure</w:t>
      </w:r>
    </w:p>
    <w:p w14:paraId="2BE42CF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3.9   Certifying staff and support staff qualifications, authorisation and training procedures</w:t>
      </w:r>
    </w:p>
    <w:p w14:paraId="6B9F0C8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3.10 Certifying staff and support staff records</w:t>
      </w:r>
    </w:p>
    <w:p w14:paraId="4FB155D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3.11 Airworthiness review staff qualification, authorisation and records</w:t>
      </w:r>
    </w:p>
    <w:p w14:paraId="6137D4A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3.12 Compliance monitoring and safety management personnel</w:t>
      </w:r>
    </w:p>
    <w:p w14:paraId="35E4FA0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3.13 Independent inspection staff qualification</w:t>
      </w:r>
    </w:p>
    <w:p w14:paraId="2C59D59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3.14 Mechanics qualification and records</w:t>
      </w:r>
    </w:p>
    <w:p w14:paraId="0D62AD1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3.15 Process for exemption from aircraft/aircraft component maintenance tasks</w:t>
      </w:r>
    </w:p>
    <w:p w14:paraId="1D95F7A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3.16 Concession control for deviations from the organisation’s procedures</w:t>
      </w:r>
    </w:p>
    <w:p w14:paraId="1D4BC93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3.17 Qualification procedure for specialised activities such as NDT, welding, etc.</w:t>
      </w:r>
    </w:p>
    <w:p w14:paraId="7F74331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3.18 Management of external working teams</w:t>
      </w:r>
    </w:p>
    <w:p w14:paraId="27D955A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3.19 Competency assessment of personnel</w:t>
      </w:r>
    </w:p>
    <w:p w14:paraId="57B775A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3.20 Training procedures for on-the-job training as per Section 6 of Appendix III to Part-66 (limited to the case where the competent authority for the Part-145 approval and for the Part-66 licence is the same).</w:t>
      </w:r>
    </w:p>
    <w:p w14:paraId="342A6CC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3.21 Procedure for the issue of a recommendation to the competent authority for the issue of a Part- 66 licence in accordance with point 66.B.105 (limited to the case where the competent authority for the Part-145 approval and for the Part-66 licence is the same).</w:t>
      </w:r>
    </w:p>
    <w:p w14:paraId="5A9BDC9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3.22 Management system record-keeping</w:t>
      </w:r>
    </w:p>
    <w:p w14:paraId="286A85F1"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PART 4 RELATIONSHIP WITH CUSTOMER/OPERATORS</w:t>
      </w:r>
    </w:p>
    <w:p w14:paraId="19A1366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4.1   List of the commercial operators to which the organisation provides regular aircraft maintenance services</w:t>
      </w:r>
    </w:p>
    <w:p w14:paraId="58B1150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4.2   Customer interface procedures and paperwork</w:t>
      </w:r>
    </w:p>
    <w:p w14:paraId="1C80F1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4.3   [Reserved]</w:t>
      </w:r>
    </w:p>
    <w:p w14:paraId="19C294E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PART 5 SUPPORTING DOCUMENTS</w:t>
      </w:r>
    </w:p>
    <w:p w14:paraId="58D6BBC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5.1   Sample documents</w:t>
      </w:r>
    </w:p>
    <w:p w14:paraId="40EEB00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5.2   List of subcontractors as per point 145.A.75(b)</w:t>
      </w:r>
    </w:p>
    <w:p w14:paraId="1FE434F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5.3   List of line maintenance locations as per point 145.A.75(d)</w:t>
      </w:r>
    </w:p>
    <w:p w14:paraId="10CFDC1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5.4   List of contracted organisations as per point 145.A.70(a)(16)</w:t>
      </w:r>
    </w:p>
    <w:p w14:paraId="113A3BD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5.5   List of used AltMoC as per point 145.A.70(a)(17)</w:t>
      </w:r>
    </w:p>
    <w:p w14:paraId="02165B69"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PART 6 RESERVED</w:t>
      </w:r>
    </w:p>
    <w:p w14:paraId="2EBD7661"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PART 7 FAA SUPPLEMENTARY PROCEDURES FOR A TITLE 14 CFR PART 145 REPAIR STATION</w:t>
      </w:r>
    </w:p>
    <w:p w14:paraId="357339AA" w14:textId="4E7A0EA0"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This section is reserved for those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Part-145 approved maintenance organisations that are also</w:t>
      </w:r>
    </w:p>
    <w:p w14:paraId="2077F1B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certificated as an FAA Title 14 CFR Part 145 repair station.</w:t>
      </w:r>
    </w:p>
    <w:p w14:paraId="136C60BF" w14:textId="31314B15"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The contents of this Part should be based on the </w:t>
      </w:r>
      <w:r w:rsidR="00F278F3">
        <w:rPr>
          <w:rFonts w:ascii="Times New Roman" w:hAnsi="Times New Roman" w:cs="Times New Roman"/>
          <w:sz w:val="24"/>
          <w:szCs w:val="24"/>
          <w:lang w:val="en-US"/>
        </w:rPr>
        <w:t>requirements</w:t>
      </w:r>
      <w:r w:rsidRPr="00AD3643">
        <w:rPr>
          <w:rFonts w:ascii="Times New Roman" w:hAnsi="Times New Roman" w:cs="Times New Roman"/>
          <w:sz w:val="24"/>
          <w:szCs w:val="24"/>
          <w:lang w:val="en-US"/>
        </w:rPr>
        <w:t xml:space="preserve"> issued by </w:t>
      </w:r>
      <w:r w:rsidR="00C95D06">
        <w:rPr>
          <w:rFonts w:ascii="Times New Roman" w:hAnsi="Times New Roman" w:cs="Times New Roman"/>
          <w:sz w:val="24"/>
          <w:szCs w:val="24"/>
          <w:lang w:val="en-US"/>
        </w:rPr>
        <w:t>CAA</w:t>
      </w:r>
      <w:r w:rsidR="00F278F3">
        <w:rPr>
          <w:rFonts w:ascii="Times New Roman" w:hAnsi="Times New Roman" w:cs="Times New Roman"/>
          <w:sz w:val="24"/>
          <w:szCs w:val="24"/>
          <w:lang w:val="en-US"/>
        </w:rPr>
        <w:t>.</w:t>
      </w:r>
    </w:p>
    <w:p w14:paraId="3FC84B2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PART 8 TRANSPORT CANADA CIVIL AVIATION (TCCA) SUPPLEMENTARY PROCEDURES FOR A CAR 573</w:t>
      </w:r>
    </w:p>
    <w:p w14:paraId="01F7700F"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MAINTENANCE ORGANISATION</w:t>
      </w:r>
    </w:p>
    <w:p w14:paraId="0C92A9F9" w14:textId="25AAF956"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This section is reserved for those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Part-145 approved maintenance organisations holding a CAR</w:t>
      </w:r>
    </w:p>
    <w:p w14:paraId="718F639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573 approval.</w:t>
      </w:r>
    </w:p>
    <w:p w14:paraId="7A329410" w14:textId="77777777" w:rsidR="00F278F3" w:rsidRPr="00F278F3" w:rsidRDefault="00F278F3" w:rsidP="00F278F3">
      <w:pPr>
        <w:spacing w:after="0"/>
        <w:jc w:val="both"/>
        <w:rPr>
          <w:rFonts w:ascii="Times New Roman" w:hAnsi="Times New Roman" w:cs="Times New Roman"/>
          <w:sz w:val="24"/>
          <w:szCs w:val="24"/>
          <w:lang w:val="en-US"/>
        </w:rPr>
      </w:pPr>
      <w:r w:rsidRPr="00F278F3">
        <w:rPr>
          <w:rFonts w:ascii="Times New Roman" w:hAnsi="Times New Roman" w:cs="Times New Roman"/>
          <w:sz w:val="24"/>
          <w:szCs w:val="24"/>
          <w:lang w:val="en-US"/>
        </w:rPr>
        <w:t>The contents of this Part should be based on the requirements issued by CAA.</w:t>
      </w:r>
    </w:p>
    <w:p w14:paraId="07B277EC"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PART 9 ANAC SUPPLEMENTARY PROCEDURES FOR AN RBAC 145 MAINTENANCE ORGANISATION</w:t>
      </w:r>
    </w:p>
    <w:p w14:paraId="64AF3D99" w14:textId="7E8F8069"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This section is reserved for those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Part-145 approved maintenance organisations that hold an</w:t>
      </w:r>
    </w:p>
    <w:p w14:paraId="31DAFE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RBAC 145 approval.</w:t>
      </w:r>
    </w:p>
    <w:p w14:paraId="0CA0304C" w14:textId="77777777" w:rsidR="00F278F3" w:rsidRPr="00F278F3" w:rsidRDefault="00F278F3" w:rsidP="00F278F3">
      <w:pPr>
        <w:spacing w:after="0"/>
        <w:jc w:val="both"/>
        <w:rPr>
          <w:rFonts w:ascii="Times New Roman" w:hAnsi="Times New Roman" w:cs="Times New Roman"/>
          <w:sz w:val="24"/>
          <w:szCs w:val="24"/>
          <w:lang w:val="en-US"/>
        </w:rPr>
      </w:pPr>
      <w:r w:rsidRPr="00F278F3">
        <w:rPr>
          <w:rFonts w:ascii="Times New Roman" w:hAnsi="Times New Roman" w:cs="Times New Roman"/>
          <w:sz w:val="24"/>
          <w:szCs w:val="24"/>
          <w:lang w:val="en-US"/>
        </w:rPr>
        <w:t>The contents of this Part should be based on the requirements issued by CAA.</w:t>
      </w:r>
    </w:p>
    <w:p w14:paraId="2C6C343E" w14:textId="28638665" w:rsidR="00E52167" w:rsidRPr="00AD3643" w:rsidRDefault="00E52167" w:rsidP="00C95D06">
      <w:pPr>
        <w:pStyle w:val="Heading2"/>
        <w:spacing w:after="0"/>
        <w:jc w:val="both"/>
        <w:rPr>
          <w:rFonts w:ascii="Times New Roman" w:hAnsi="Times New Roman" w:cs="Times New Roman"/>
          <w:sz w:val="24"/>
          <w:szCs w:val="24"/>
          <w:lang w:val="en-US"/>
        </w:rPr>
      </w:pPr>
      <w:bookmarkStart w:id="244" w:name="toc_sec_0114"/>
      <w:bookmarkStart w:id="245" w:name="_Toc241066130"/>
      <w:r w:rsidRPr="00AD3643">
        <w:rPr>
          <w:rFonts w:ascii="Times New Roman" w:hAnsi="Times New Roman" w:cs="Times New Roman"/>
          <w:sz w:val="24"/>
          <w:szCs w:val="24"/>
          <w:lang w:val="en-US"/>
        </w:rPr>
        <w:t>AMC1 145.A.70(a)(1) Maintenance organisation exposition (MOE)</w:t>
      </w:r>
      <w:bookmarkEnd w:id="244"/>
      <w:bookmarkEnd w:id="245"/>
    </w:p>
    <w:p w14:paraId="4E1CFB6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ACCOUNTABLE MANAGER STATEMENT</w:t>
      </w:r>
    </w:p>
    <w:p w14:paraId="48E56E3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Part 1 of the MOE should include a statement signed by the accountable manager (and countersigned</w:t>
      </w:r>
    </w:p>
    <w:p w14:paraId="24C21EF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by the chief executive officer, if different), confirming that the MOE and any associated manuals will</w:t>
      </w:r>
    </w:p>
    <w:p w14:paraId="462B455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be complied with at all times.</w:t>
      </w:r>
    </w:p>
    <w:p w14:paraId="051029B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accountable manager’s exposition statement as specified under point 145.A.70(a)(1) should</w:t>
      </w:r>
    </w:p>
    <w:p w14:paraId="581D4F2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embrace the intent of the following paragraph, and in fact, this statement may be used without</w:t>
      </w:r>
    </w:p>
    <w:p w14:paraId="7771BCA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amendment. Any modification to the statement should not alter the intent. ‘This exposition and any associated referenced manuals define the organisation and procedures upon which the Part-145 approval certificate is issued by (competent authority*). These procedures are endorsed by the undersigned and must be complied with, as applicable, when contracts or work orders are being progressed under the organisation approval certificate. These procedures do not override the necessity of complying with any new or amended regulation published from time to time where these new or amended regulations are in conflict with these procedures. It is understood that the approval of the organisation is based on the continuous compliance of the organisation with Part-145, Part-M and Part-ML, as applicable, and with the organisation’s procedures described in this exposition. The competent authority* is entitled to limit, suspend, or revoke the approval certificate if the organisation fails to fulfil the obligations imposed by Part-145, Part-M and Part-ML, as applicable, or any conditions according to which the approval was issued. Signed ........................................ Dated .......................................... Accountable Manager and...... (quote position)........................ Chief Executive Officer … For and on behalf of........ (quote organisation’s name)..................................................’</w:t>
      </w:r>
    </w:p>
    <w:p w14:paraId="615ED1F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Note: Where it states (‘competent authority*’), please insert the actual name of the competent</w:t>
      </w:r>
    </w:p>
    <w:p w14:paraId="0DAAE534" w14:textId="36C41D79"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 xml:space="preserve">authority, for example,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the LBA, the DGAC, etc.</w:t>
      </w:r>
    </w:p>
    <w:p w14:paraId="7027ACE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Whenever the accountable manager changes, it is important that the new accountable manager signs</w:t>
      </w:r>
    </w:p>
    <w:p w14:paraId="3D209F1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statement at the earliest opportunity.</w:t>
      </w:r>
    </w:p>
    <w:p w14:paraId="0D9BA19E" w14:textId="5D2E8C61" w:rsidR="00E52167" w:rsidRPr="00AD3643" w:rsidRDefault="00E52167" w:rsidP="00C95D06">
      <w:pPr>
        <w:pStyle w:val="Heading2"/>
        <w:spacing w:after="0"/>
        <w:jc w:val="both"/>
        <w:rPr>
          <w:rFonts w:ascii="Times New Roman" w:hAnsi="Times New Roman" w:cs="Times New Roman"/>
          <w:sz w:val="24"/>
          <w:szCs w:val="24"/>
          <w:lang w:val="en-US"/>
        </w:rPr>
      </w:pPr>
      <w:bookmarkStart w:id="246" w:name="toc_sec_0115"/>
      <w:bookmarkStart w:id="247" w:name="_Toc241066131"/>
      <w:r w:rsidRPr="00AD3643">
        <w:rPr>
          <w:rFonts w:ascii="Times New Roman" w:hAnsi="Times New Roman" w:cs="Times New Roman"/>
          <w:sz w:val="24"/>
          <w:szCs w:val="24"/>
          <w:lang w:val="en-US"/>
        </w:rPr>
        <w:t>AMC1 145.A.75(b) Privileges of the organisation</w:t>
      </w:r>
      <w:bookmarkEnd w:id="246"/>
      <w:bookmarkEnd w:id="247"/>
    </w:p>
    <w:p w14:paraId="2693F328"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SUBCONTRACTING</w:t>
      </w:r>
    </w:p>
    <w:p w14:paraId="14E4075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Working under the management system of an organisation appropriately approved under Part- 145 (subcontracting) refers to the case of one organisation, whether or not it is approved under Part-145, that carries out certain maintenance (see paragraph 3.1) under the approval certificate of a Part-145. In order to subcontract, the Part-145 organisation should have a procedure for the control of such subcontractors as described below. Any approved maintenance organisation that carries out maintenance under its own approval certificate for another approved maintenance organisation is not considered to be subcontracted for the purpose of this paragraph, but contracted by that other organisation (see GM2 145.A.205).</w:t>
      </w:r>
    </w:p>
    <w:p w14:paraId="0AF99AB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Maintenance of engines or engine modules other than ‘a complete workshop maintenance check or overhaul’ is intended to mean any maintenance that can be carried out without disassembly of the core engine or, in the case of modular engines, without disassembly of any core module.</w:t>
      </w:r>
    </w:p>
    <w:p w14:paraId="5EB23CEE" w14:textId="77777777" w:rsidR="00F278F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3.    FUNDAMENTALS OF SUBCONTRACTING UNDER PART-145 </w:t>
      </w:r>
    </w:p>
    <w:p w14:paraId="24B08A90" w14:textId="18A074EC"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3.1.   The most common reasons for allowing an organisation approved under Part-145 to sub- contract is to permit acceptance of certain maintenance tasks carried out by subcontractors when approvals by the competent authority of those subcontractors are not justified (e.g. limited scope of work, limited volume of maintenance activities, limited number of potential customers, limited need in time) or when the subcontractors cannot demonstrate compliance with all elements of the regulation (e.g. no maintenance facilities, specialised staff not covering all maintenance scope). This subcontracting option permits the acceptance of the following maintenance:</w:t>
      </w:r>
    </w:p>
    <w:p w14:paraId="23C07F5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specialised maintenance services, such as, but not limited to, surface treatment (e.g. plating, plasma spraying), fabrication of specified parts for repairs/ modifications, welding, etc.;</w:t>
      </w:r>
    </w:p>
    <w:p w14:paraId="2AE316C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aircraft maintenance (e.g. line maintenance, leaks detection in fuel tanks, special repairs/modifications, complete aircraft painting) up to but not including a complete base maintenance check as specified in point 145.A.75(b);</w:t>
      </w:r>
    </w:p>
    <w:p w14:paraId="64EEDEF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component maintenance.;</w:t>
      </w:r>
    </w:p>
    <w:p w14:paraId="3AED56F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engine maintenance up to but not including a complete workshop maintenance check or overhaul of an engine or engine module as specified in point 145.A.75(b).</w:t>
      </w:r>
    </w:p>
    <w:p w14:paraId="3E2D3CE2" w14:textId="5A84A6CE"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3.2.   When maintenance is carried out under the management system of a Part-145 organisation, it means that for the duration of such maintenance, the Part-145 approval has been temporarily extended to include the subcontractor. It therefore follows that all parts of the subcontractor (facilities, personnel, equipment and tools, components, maintenance data and procedures) involved with the maintenance organisation’s products undergoing maintenance should meet Part-145 requirements and the Part-145 organisation’s MOE for the duration of that maintenance, and it remains the Part-145 organisation’s responsibility to ensure such requirements are satisfied. 3.3.   When subcontracting, the Part-145 organisation is not required to have complete facilities for the maintenance that it needs to sub-contract, but it should have its own expertise  to determine              whether  the subcontractor meets the necessary standards. However, a Part-145 organisation cannot </w:t>
      </w:r>
      <w:r w:rsidRPr="00AD3643">
        <w:rPr>
          <w:rFonts w:ascii="Times New Roman" w:hAnsi="Times New Roman" w:cs="Times New Roman"/>
          <w:sz w:val="24"/>
          <w:szCs w:val="24"/>
          <w:lang w:val="en-US"/>
        </w:rPr>
        <w:lastRenderedPageBreak/>
        <w:t>be approved unless it has in-house the facilities, personnel, equipment and tools, components, maintenance data, procedures and expertise to carry out the majority of the maintenance for which it wishes to receive the terms of approval. 3.4.   The     organisation    may      find   it    necessary      to     include     specialised subcontractors to enable it to be approved to issue the certificate of release to service of a particular maintenance. Examples are provided in point 3.1(a). To authorise the use of such subcontractors, the competent authority will need to be satisfied that the Part-145 organisation has the necessary expertise and procedures to control such subcontractors. 3.5.   A maintenance organisation working outside the scope of its terms of approval is deemed to be not approved for the work considered. Such an organisation may in this circumstance operate only as a subcontractor under the management system and control of another organisation appropriately approved under Part-145. 3.6.   Authorisation to sub-contract is indicated by the competent authority approving the MOE containing a specific procedure on the control of subcontractors as well as a list of subcontractors.</w:t>
      </w:r>
    </w:p>
    <w:p w14:paraId="01E138F0" w14:textId="77777777" w:rsidR="002B3D58"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4.   PART-145 PROCEDURES FOR THE CONTROL OF SUBCONTRACTORS </w:t>
      </w:r>
    </w:p>
    <w:p w14:paraId="68858211" w14:textId="27E7C79A"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4.1.   A pre-audit procedure should be established whereby the Part-145 organisation should audit a prospective subcontractor to determine whether those services of the subcontractor that it wishes to use meet the intent of Part-145. This audit should be performed under the responsibility of the compliance monitoring function. 4.2.   The Part-145 organisation needs to assess to what extent it will use the subcontractor resources (facilities included). The contract between the Part-145 organisation and the subcontractor will determine whether the Part-145 organisation requires its own paperwork, maintenance data and components to be used or, provided that they meet the requirements of Part-145, if the facilities, equipment and tools from the subcontractor           will      be       used.       In       the       case       of subcontractors who provide specialised services, it may for practical reasons be necessary to use their specialised services paperwork, maintenance data and components, subject to acceptance by the Part-145 organisation. 4.3.   Unless the sub-contracted maintenance work can be fully inspected on receipt by the Part-145 organisation, it will be necessary for the Part-145 organisation to establish an MOE procedure to control the subcontracted maintenance work (and associated supporting documents). The organisation will need to consider whether to use its own personnel or to authorise the subcontractor personnel for that control.</w:t>
      </w:r>
    </w:p>
    <w:p w14:paraId="64DBA97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4.4.   The certificate of release to service may be issued either by subcontractor staff holding a certification authorisation issued by the Part-145 organisation in accordance with points 145.A.30 and 145.A.35 as appropriate, or by the Part-145 organisation certifying staff. 4.5.   The subcontractor control procedure will need to address the relevant management system key processes such as safety risk management and compliance monitoring (see point 145.A.205). The procedure should ensure that records of all subcontractor audits and inspections, and the corresponding actions are kept, and provide information on when subcontractors are used. The procedure should include a clear revocation process for subcontractors that do not meet the Part-145 maintenance organisation’s requirements. 4.6.   The Part-145 compliance monitoring staff will need to audit the subcontractor control function of the Part-145 organisation and to audit the subcontractors unless this task is already carried out by the subcontractor control function on behalf of the compliance monitoring function. 4.7.   The      contract    between       the     Part-145        organisation     and   the subcontractor should contain a provision to ensure that access to the subcontractor is granted to any person authorised by the authorities specified in point 145.A.140.</w:t>
      </w:r>
    </w:p>
    <w:p w14:paraId="690C423C" w14:textId="7E5BE059" w:rsidR="00E52167" w:rsidRPr="00AD3643" w:rsidRDefault="00E52167" w:rsidP="00C95D06">
      <w:pPr>
        <w:pStyle w:val="Heading2"/>
        <w:spacing w:after="0"/>
        <w:jc w:val="both"/>
        <w:rPr>
          <w:rFonts w:ascii="Times New Roman" w:hAnsi="Times New Roman" w:cs="Times New Roman"/>
          <w:sz w:val="24"/>
          <w:szCs w:val="24"/>
          <w:lang w:val="en-US"/>
        </w:rPr>
      </w:pPr>
      <w:bookmarkStart w:id="248" w:name="toc_sec_0116"/>
      <w:bookmarkStart w:id="249" w:name="_Toc241066132"/>
      <w:r w:rsidRPr="00AD3643">
        <w:rPr>
          <w:rFonts w:ascii="Times New Roman" w:hAnsi="Times New Roman" w:cs="Times New Roman"/>
          <w:sz w:val="24"/>
          <w:szCs w:val="24"/>
          <w:lang w:val="en-US"/>
        </w:rPr>
        <w:lastRenderedPageBreak/>
        <w:t>AMC1 145.A.85 Changes to the organisation</w:t>
      </w:r>
      <w:bookmarkEnd w:id="248"/>
      <w:bookmarkEnd w:id="249"/>
    </w:p>
    <w:p w14:paraId="1655F53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APPLICATION TIME FRAMES</w:t>
      </w:r>
    </w:p>
    <w:p w14:paraId="7AAD8E7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application for a change to an organisation certificate should be submitted at least 30 working days before the date of the intended changes.</w:t>
      </w:r>
    </w:p>
    <w:p w14:paraId="6F3EF6E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In the case of a planned change of a nominated person, the organisation should inform the competent authority at least 20 working days before the date of the proposed change.</w:t>
      </w:r>
    </w:p>
    <w:p w14:paraId="5D937C1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Unforeseen changes should be notified at the earliest opportunity, in order to enable the competent authority to determine whether there is continued compliance with the applicable requirements, and to amend, if necessary, the organisation certificate and the related terms of approval.</w:t>
      </w:r>
    </w:p>
    <w:p w14:paraId="464DC156" w14:textId="06D9F415" w:rsidR="00E52167" w:rsidRPr="00AD3643" w:rsidRDefault="00E52167" w:rsidP="00C95D06">
      <w:pPr>
        <w:pStyle w:val="Heading2"/>
        <w:spacing w:after="0"/>
        <w:jc w:val="both"/>
        <w:rPr>
          <w:rFonts w:ascii="Times New Roman" w:hAnsi="Times New Roman" w:cs="Times New Roman"/>
          <w:sz w:val="24"/>
          <w:szCs w:val="24"/>
          <w:lang w:val="en-US"/>
        </w:rPr>
      </w:pPr>
      <w:bookmarkStart w:id="250" w:name="toc_sec_0117"/>
      <w:bookmarkStart w:id="251" w:name="_Toc241066133"/>
      <w:r w:rsidRPr="00AD3643">
        <w:rPr>
          <w:rFonts w:ascii="Times New Roman" w:hAnsi="Times New Roman" w:cs="Times New Roman"/>
          <w:sz w:val="24"/>
          <w:szCs w:val="24"/>
          <w:lang w:val="en-US"/>
        </w:rPr>
        <w:t>AMC2 145.A.85 Changes to the organisation</w:t>
      </w:r>
      <w:bookmarkEnd w:id="250"/>
      <w:bookmarkEnd w:id="251"/>
    </w:p>
    <w:p w14:paraId="2FFEE49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MANAGEMENT OF CHANGES</w:t>
      </w:r>
    </w:p>
    <w:p w14:paraId="6093973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organisation should manage changes to the organisation in accordance with point (e) of AMC1</w:t>
      </w:r>
    </w:p>
    <w:p w14:paraId="6992C265" w14:textId="30580D3D"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145.A.200(a)(3). For changes requiring prior approval, it should conduct a risk assessment and provide</w:t>
      </w:r>
      <w:r w:rsidR="005940E9">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it to the competent authority upon request.</w:t>
      </w:r>
    </w:p>
    <w:p w14:paraId="1BA5DD5A" w14:textId="093F4350" w:rsidR="00E52167" w:rsidRPr="00AD3643" w:rsidRDefault="00E52167" w:rsidP="00C95D06">
      <w:pPr>
        <w:pStyle w:val="Heading2"/>
        <w:spacing w:after="0"/>
        <w:jc w:val="both"/>
        <w:rPr>
          <w:rFonts w:ascii="Times New Roman" w:hAnsi="Times New Roman" w:cs="Times New Roman"/>
          <w:sz w:val="24"/>
          <w:szCs w:val="24"/>
          <w:lang w:val="en-US"/>
        </w:rPr>
      </w:pPr>
      <w:bookmarkStart w:id="252" w:name="toc_sec_0118"/>
      <w:bookmarkStart w:id="253" w:name="_Toc241066134"/>
      <w:r w:rsidRPr="00AD3643">
        <w:rPr>
          <w:rFonts w:ascii="Times New Roman" w:hAnsi="Times New Roman" w:cs="Times New Roman"/>
          <w:sz w:val="24"/>
          <w:szCs w:val="24"/>
          <w:lang w:val="en-US"/>
        </w:rPr>
        <w:t>GM1 145.A.85 Changes to the organisation</w:t>
      </w:r>
      <w:bookmarkEnd w:id="252"/>
      <w:bookmarkEnd w:id="253"/>
    </w:p>
    <w:p w14:paraId="452979EC"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CHANGES REQUIRING OR NOT REQUIRING PRIOR APPROVAL</w:t>
      </w:r>
    </w:p>
    <w:p w14:paraId="63371D5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Point 145.A.85 is structured as follows:</w:t>
      </w:r>
    </w:p>
    <w:p w14:paraId="546E4F5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Point (a) introduces an obligation of prior approval (by the competent authority) for specific cases listed under (1) to (5);</w:t>
      </w:r>
    </w:p>
    <w:p w14:paraId="26E61B7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Point (b) address all instances (including (a)) where this Annex (Part-145) explicitly requires an approval by the competent authority (e.g. procedure for use of alternative tooling or equipment, ref. 145.A.40(a)(i)). Changes relevant to these instances should be considered as changes requiring a prior approval (see list in GM1 145.A.85(b)), unless otherwise specified by this Annex (Part-145). Point (b) also indicates how all changes requiring prior approval should be handled;</w:t>
      </w:r>
    </w:p>
    <w:p w14:paraId="64B9594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Point (c) introduces the possibility for the organisation to agree with the competent authority that certain changes to the organisation (other than those covered by (a) or (b)) can be implemented without prior approval depending on the compliance and safety performance of the organisation, and in particular, on its capability to apply change management principles.</w:t>
      </w:r>
    </w:p>
    <w:p w14:paraId="71FF1F16" w14:textId="2BA75736" w:rsidR="00E52167" w:rsidRPr="00AD3643" w:rsidRDefault="00E52167" w:rsidP="00C95D06">
      <w:pPr>
        <w:pStyle w:val="Heading2"/>
        <w:spacing w:after="0"/>
        <w:jc w:val="both"/>
        <w:rPr>
          <w:rFonts w:ascii="Times New Roman" w:hAnsi="Times New Roman" w:cs="Times New Roman"/>
          <w:sz w:val="24"/>
          <w:szCs w:val="24"/>
          <w:lang w:val="en-US"/>
        </w:rPr>
      </w:pPr>
      <w:bookmarkStart w:id="254" w:name="toc_sec_0119"/>
      <w:bookmarkStart w:id="255" w:name="_Toc241066135"/>
      <w:r w:rsidRPr="00AD3643">
        <w:rPr>
          <w:rFonts w:ascii="Times New Roman" w:hAnsi="Times New Roman" w:cs="Times New Roman"/>
          <w:sz w:val="24"/>
          <w:szCs w:val="24"/>
          <w:lang w:val="en-US"/>
        </w:rPr>
        <w:t>GM1 145.A.85(a)(1) Changes to the organisation</w:t>
      </w:r>
      <w:bookmarkEnd w:id="254"/>
      <w:bookmarkEnd w:id="255"/>
    </w:p>
    <w:p w14:paraId="6358733F"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CHANGE OF THE NAME OF THE ORGANISATION</w:t>
      </w:r>
    </w:p>
    <w:p w14:paraId="534A133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change of the name requires the organisation to submit an application as a matter of urgency for a</w:t>
      </w:r>
    </w:p>
    <w:p w14:paraId="5BD05BA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re-issue of their certificate.</w:t>
      </w:r>
    </w:p>
    <w:p w14:paraId="63590FB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If this is the only change to report, the application can be accompanied by a copy of the documentation</w:t>
      </w:r>
    </w:p>
    <w:p w14:paraId="6ABD284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that was previously submitted to the competent authority under the previous name, as a means of</w:t>
      </w:r>
    </w:p>
    <w:p w14:paraId="75BF70E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demonstrating that the organisation complies with the applicable requirements.</w:t>
      </w:r>
    </w:p>
    <w:p w14:paraId="07B6E6A7" w14:textId="5D357D40" w:rsidR="00E52167" w:rsidRPr="00AD3643" w:rsidRDefault="00E52167" w:rsidP="00C95D06">
      <w:pPr>
        <w:pStyle w:val="Heading2"/>
        <w:spacing w:after="0"/>
        <w:jc w:val="both"/>
        <w:rPr>
          <w:rFonts w:ascii="Times New Roman" w:hAnsi="Times New Roman" w:cs="Times New Roman"/>
          <w:sz w:val="24"/>
          <w:szCs w:val="24"/>
          <w:lang w:val="en-US"/>
        </w:rPr>
      </w:pPr>
      <w:bookmarkStart w:id="256" w:name="toc_sec_0120"/>
      <w:bookmarkStart w:id="257" w:name="_Toc241066136"/>
      <w:r w:rsidRPr="00AD3643">
        <w:rPr>
          <w:rFonts w:ascii="Times New Roman" w:hAnsi="Times New Roman" w:cs="Times New Roman"/>
          <w:sz w:val="24"/>
          <w:szCs w:val="24"/>
          <w:lang w:val="en-US"/>
        </w:rPr>
        <w:lastRenderedPageBreak/>
        <w:t>GM1 145.A.85(a)(2) Changes to the organisation</w:t>
      </w:r>
      <w:bookmarkEnd w:id="256"/>
      <w:bookmarkEnd w:id="257"/>
    </w:p>
    <w:p w14:paraId="0EBB49DF"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CHANGE OF A NOMINATED PERSON</w:t>
      </w:r>
    </w:p>
    <w:p w14:paraId="420DA22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accordance with point 145.A.85(a)(2), a change of a nominated person (ref. 145.A.30) requires a</w:t>
      </w:r>
    </w:p>
    <w:p w14:paraId="2012066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prior approval. In case of a unplanned/unanticipated change, a deputy (such as the deputy referred</w:t>
      </w:r>
    </w:p>
    <w:p w14:paraId="6E8CC0F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 in 145.A.30(b)) may ensure business continuity during the approval process of the new nominated</w:t>
      </w:r>
    </w:p>
    <w:p w14:paraId="28D4716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person.</w:t>
      </w:r>
    </w:p>
    <w:p w14:paraId="4CD72727" w14:textId="7C20EC49" w:rsidR="00E52167" w:rsidRPr="00AD3643" w:rsidRDefault="00E52167" w:rsidP="00C95D06">
      <w:pPr>
        <w:pStyle w:val="Heading2"/>
        <w:spacing w:after="0"/>
        <w:jc w:val="both"/>
        <w:rPr>
          <w:rFonts w:ascii="Times New Roman" w:hAnsi="Times New Roman" w:cs="Times New Roman"/>
          <w:sz w:val="24"/>
          <w:szCs w:val="24"/>
          <w:lang w:val="en-US"/>
        </w:rPr>
      </w:pPr>
      <w:bookmarkStart w:id="258" w:name="toc_sec_0121"/>
      <w:bookmarkStart w:id="259" w:name="_Toc241066137"/>
      <w:r w:rsidRPr="00AD3643">
        <w:rPr>
          <w:rFonts w:ascii="Times New Roman" w:hAnsi="Times New Roman" w:cs="Times New Roman"/>
          <w:sz w:val="24"/>
          <w:szCs w:val="24"/>
          <w:lang w:val="en-US"/>
        </w:rPr>
        <w:t>GM1 145.A.85(b) Changes to the organisation</w:t>
      </w:r>
      <w:bookmarkEnd w:id="258"/>
      <w:bookmarkEnd w:id="259"/>
    </w:p>
    <w:p w14:paraId="7505E09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CHANGES REQUIRING PRIOR APPROVAL (OTHER THAN THOSE COVERED BY POINT 145.A.85(A))</w:t>
      </w:r>
    </w:p>
    <w:p w14:paraId="7D86613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following are examples of changes that require prior approval by the competent authority (other</w:t>
      </w:r>
    </w:p>
    <w:p w14:paraId="274B685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than those covered by point 145.A.85(a)), as specified in Part-145:</w:t>
      </w:r>
    </w:p>
    <w:p w14:paraId="12EEE63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changes to the AltMoC [145.A.120(b)];</w:t>
      </w:r>
    </w:p>
    <w:p w14:paraId="7201A0B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changes to the MOE procedure for the use of alternative tooling or equipment [145.A.40(a)(i)];</w:t>
      </w:r>
    </w:p>
    <w:p w14:paraId="437E9DA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changes to the MOE procedure allowing a B-rated organisation to carry out maintenance on an installed engine during ‘base’ and ‘line’ maintenance [Appendix II, point (f)];</w:t>
      </w:r>
    </w:p>
    <w:p w14:paraId="6B7343D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changes to the MOE procedure allowing a C-rated organisation to carry out maintenance on an installed component (other than a complete engine/APU) during ‘base’ and ‘line’ maintenance or at an engine/APU maintenance facility [Appendix II, point (g)];</w:t>
      </w:r>
    </w:p>
    <w:p w14:paraId="3FFF95E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changes to the procedures to establish and control the competency of personnel [145.A.30(e)];</w:t>
      </w:r>
    </w:p>
    <w:p w14:paraId="4B27B61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changes to the system for reporting to the competent authority on the safety performance and regulatory compliance of the organisation (in the case of an extension of the oversight planning cycle beyond 36 months) [145.B.305(d)].</w:t>
      </w:r>
    </w:p>
    <w:p w14:paraId="700ED6D6" w14:textId="330EA219" w:rsidR="00E52167" w:rsidRPr="00AD3643" w:rsidRDefault="00E52167" w:rsidP="00C95D06">
      <w:pPr>
        <w:pStyle w:val="Heading2"/>
        <w:spacing w:after="0"/>
        <w:jc w:val="both"/>
        <w:rPr>
          <w:rFonts w:ascii="Times New Roman" w:hAnsi="Times New Roman" w:cs="Times New Roman"/>
          <w:sz w:val="24"/>
          <w:szCs w:val="24"/>
          <w:lang w:val="en-US"/>
        </w:rPr>
      </w:pPr>
      <w:bookmarkStart w:id="260" w:name="toc_sec_0122"/>
      <w:bookmarkStart w:id="261" w:name="_Toc241066138"/>
      <w:r w:rsidRPr="00AD3643">
        <w:rPr>
          <w:rFonts w:ascii="Times New Roman" w:hAnsi="Times New Roman" w:cs="Times New Roman"/>
          <w:sz w:val="24"/>
          <w:szCs w:val="24"/>
          <w:lang w:val="en-US"/>
        </w:rPr>
        <w:t>AMC1 145.A.95 Findings and observations</w:t>
      </w:r>
      <w:bookmarkEnd w:id="260"/>
      <w:bookmarkEnd w:id="261"/>
    </w:p>
    <w:p w14:paraId="0454CB8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FINDING-RELATED CORRECTIVE ACTION PLAN AND IMPLEMENTATION</w:t>
      </w:r>
    </w:p>
    <w:p w14:paraId="4410B03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After receiving the notification of findings, the organisation should identify and define the actions for</w:t>
      </w:r>
    </w:p>
    <w:p w14:paraId="4F45145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all findings to address the effects of the non-compliance and its root cause(s) and contributing</w:t>
      </w:r>
    </w:p>
    <w:p w14:paraId="2829DF5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factor(s).</w:t>
      </w:r>
    </w:p>
    <w:p w14:paraId="696ACE7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Depending on the issues, the organisation may need to take immediate corrections.</w:t>
      </w:r>
    </w:p>
    <w:p w14:paraId="4180C49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corrective action plan should:</w:t>
      </w:r>
    </w:p>
    <w:p w14:paraId="0401ADC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include the correction of the issue, corrective actions and preventive actions, as well as the planning to implement these actions;</w:t>
      </w:r>
    </w:p>
    <w:p w14:paraId="4F740FC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be timely submitted to the competent authority for acceptance before it is effectively implemented.</w:t>
      </w:r>
    </w:p>
    <w:p w14:paraId="328EC58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After receiving the acceptance of the corrective action plan from the competent authority, the</w:t>
      </w:r>
    </w:p>
    <w:p w14:paraId="2A3D6DC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organisation should implement the associated actions.</w:t>
      </w:r>
    </w:p>
    <w:p w14:paraId="11A9C7B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Within the agreed period, the organisation should inform the competent authority that the corrective</w:t>
      </w:r>
    </w:p>
    <w:p w14:paraId="3960399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action plan has been completed and should send the associated evidence, as requested by the</w:t>
      </w:r>
    </w:p>
    <w:p w14:paraId="3B8EE5F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competent authority.</w:t>
      </w:r>
    </w:p>
    <w:p w14:paraId="2CB0C99E" w14:textId="41EF30D6" w:rsidR="00E52167" w:rsidRPr="00AD3643" w:rsidRDefault="00E52167" w:rsidP="00C95D06">
      <w:pPr>
        <w:pStyle w:val="Heading2"/>
        <w:spacing w:after="0"/>
        <w:jc w:val="both"/>
        <w:rPr>
          <w:rFonts w:ascii="Times New Roman" w:hAnsi="Times New Roman" w:cs="Times New Roman"/>
          <w:sz w:val="24"/>
          <w:szCs w:val="24"/>
          <w:lang w:val="en-US"/>
        </w:rPr>
      </w:pPr>
      <w:bookmarkStart w:id="262" w:name="toc_sec_0123"/>
      <w:bookmarkStart w:id="263" w:name="_Toc241066139"/>
      <w:r w:rsidRPr="00AD3643">
        <w:rPr>
          <w:rFonts w:ascii="Times New Roman" w:hAnsi="Times New Roman" w:cs="Times New Roman"/>
          <w:sz w:val="24"/>
          <w:szCs w:val="24"/>
          <w:lang w:val="en-US"/>
        </w:rPr>
        <w:lastRenderedPageBreak/>
        <w:t>AMC2 145.A.95 Findings and observations</w:t>
      </w:r>
      <w:bookmarkEnd w:id="262"/>
      <w:bookmarkEnd w:id="263"/>
    </w:p>
    <w:p w14:paraId="1533778F"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DUE CONSIDERATION TO OBSERVATIONS</w:t>
      </w:r>
    </w:p>
    <w:p w14:paraId="727E758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For each observation notified by the competent authority, the organisation should analyse the related</w:t>
      </w:r>
    </w:p>
    <w:p w14:paraId="786F87F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issues and determine when actions are needed.</w:t>
      </w:r>
    </w:p>
    <w:p w14:paraId="69BF28E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handling of the observations may follow a process similar to the handling of the findings by the</w:t>
      </w:r>
    </w:p>
    <w:p w14:paraId="6591059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organisation.</w:t>
      </w:r>
    </w:p>
    <w:p w14:paraId="0790BD1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organisation should record the analysis and the outputs, such as the actions taken or the reasons</w:t>
      </w:r>
    </w:p>
    <w:p w14:paraId="56B1D9A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for not taking actions.</w:t>
      </w:r>
    </w:p>
    <w:p w14:paraId="70DDC8DC" w14:textId="7A2F894D" w:rsidR="00E52167" w:rsidRPr="00AD3643" w:rsidRDefault="00E52167" w:rsidP="00C95D06">
      <w:pPr>
        <w:pStyle w:val="Heading2"/>
        <w:spacing w:after="0"/>
        <w:jc w:val="both"/>
        <w:rPr>
          <w:rFonts w:ascii="Times New Roman" w:hAnsi="Times New Roman" w:cs="Times New Roman"/>
          <w:sz w:val="24"/>
          <w:szCs w:val="24"/>
          <w:lang w:val="en-US"/>
        </w:rPr>
      </w:pPr>
      <w:bookmarkStart w:id="264" w:name="toc_sec_0124"/>
      <w:bookmarkStart w:id="265" w:name="_Toc241066140"/>
      <w:r w:rsidRPr="00AD3643">
        <w:rPr>
          <w:rFonts w:ascii="Times New Roman" w:hAnsi="Times New Roman" w:cs="Times New Roman"/>
          <w:sz w:val="24"/>
          <w:szCs w:val="24"/>
          <w:lang w:val="en-US"/>
        </w:rPr>
        <w:t>GM1 145.A.95 Findings and observations</w:t>
      </w:r>
      <w:bookmarkEnd w:id="264"/>
      <w:bookmarkEnd w:id="265"/>
    </w:p>
    <w:p w14:paraId="076F966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ROOT CAUSE ANALYSIS</w:t>
      </w:r>
    </w:p>
    <w:p w14:paraId="5EE90E2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It is important that the analysis does not primarily focus on establishing who or what caused the non-compliance, but on why it was caused. Establishing the root cause(s) often requires an overarching view of the events and circumstances that led to it, to identify all the possible systemic and contributing factors (regulatory, technical, human factors, organisational factors, etc.) in addition to the direct factors.</w:t>
      </w:r>
    </w:p>
    <w:p w14:paraId="2DD2001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 narrow focus on single events or failures, or the use of a simple, linear model, such as a fault tree, to identify the chain of events that led to the non-compliance, may not properly reflect the complexity of the issue, and therefore there is a risk that important factors that must be addressed in order to prevent a reoccurrence will be ignored. Such an inappropriate or partial root cause analysis often leads to defining ‘quick fixes’ that only address the symptoms of the non-conformity. A peer review of the results of the root cause analysis may increase its reliability and objectivity.</w:t>
      </w:r>
    </w:p>
    <w:p w14:paraId="5581DB0E" w14:textId="38C64656" w:rsidR="00E52167" w:rsidRPr="00AD3643" w:rsidRDefault="00E52167" w:rsidP="00C95D06">
      <w:pPr>
        <w:pStyle w:val="Heading2"/>
        <w:spacing w:after="0"/>
        <w:jc w:val="both"/>
        <w:rPr>
          <w:rFonts w:ascii="Times New Roman" w:hAnsi="Times New Roman" w:cs="Times New Roman"/>
          <w:sz w:val="24"/>
          <w:szCs w:val="24"/>
          <w:lang w:val="en-US"/>
        </w:rPr>
      </w:pPr>
      <w:bookmarkStart w:id="266" w:name="toc_sec_0125"/>
      <w:bookmarkStart w:id="267" w:name="_Toc241066141"/>
      <w:r w:rsidRPr="00AD3643">
        <w:rPr>
          <w:rFonts w:ascii="Times New Roman" w:hAnsi="Times New Roman" w:cs="Times New Roman"/>
          <w:sz w:val="24"/>
          <w:szCs w:val="24"/>
          <w:lang w:val="en-US"/>
        </w:rPr>
        <w:t>GM1 145.A.120 Means of compliance</w:t>
      </w:r>
      <w:bookmarkEnd w:id="266"/>
      <w:bookmarkEnd w:id="267"/>
    </w:p>
    <w:p w14:paraId="105619F1" w14:textId="4C986937" w:rsidR="00E52167" w:rsidRPr="00AD3643" w:rsidRDefault="00E52167" w:rsidP="002B3D58">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   Acceptable means of compliance (AMC), as referred to in </w:t>
      </w:r>
      <w:r w:rsidR="002B3D58">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are a tool to standardise the demonstration of compliance and facilitate the verification activities of the competent authorities with </w:t>
      </w:r>
      <w:r w:rsidR="002B3D58">
        <w:rPr>
          <w:rFonts w:ascii="Times New Roman" w:hAnsi="Times New Roman" w:cs="Times New Roman"/>
          <w:sz w:val="24"/>
          <w:szCs w:val="24"/>
          <w:lang w:val="en-US"/>
        </w:rPr>
        <w:t>Aviatione Code</w:t>
      </w:r>
      <w:r w:rsidRPr="00AD3643">
        <w:rPr>
          <w:rFonts w:ascii="Times New Roman" w:hAnsi="Times New Roman" w:cs="Times New Roman"/>
          <w:sz w:val="24"/>
          <w:szCs w:val="24"/>
          <w:lang w:val="en-US"/>
        </w:rPr>
        <w:t xml:space="preserve"> and its delegated and implementing acts. They are published by the </w:t>
      </w:r>
      <w:r w:rsidR="002B3D58">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to achieve these</w:t>
      </w:r>
      <w:r w:rsidR="002B3D58">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objectives. Whereas the competent authorities and the regulated entities are not legally bound to use them, applying them is recommended.</w:t>
      </w:r>
    </w:p>
    <w:p w14:paraId="47FAD3E7" w14:textId="7560E599" w:rsidR="00E52167" w:rsidRPr="00AD3643" w:rsidRDefault="00E52167" w:rsidP="002B3D58">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   If an organisation wishes to use means to comply with the Regulation different from the AMC established by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that organisation may need to demonstrate compliance with </w:t>
      </w:r>
      <w:r w:rsidR="002B3D58">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and implementing acts by using alternative means of compliance (AltMoC):</w:t>
      </w:r>
    </w:p>
    <w:p w14:paraId="7CA016D0" w14:textId="424E4928"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established by </w:t>
      </w:r>
      <w:r w:rsidR="00F212C7">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 see GM1 145.B.120; or</w:t>
      </w:r>
    </w:p>
    <w:p w14:paraId="249817DC" w14:textId="13E4CE7F"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   established by that organisation and approved by </w:t>
      </w:r>
      <w:r w:rsidR="00F212C7">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 see point</w:t>
      </w:r>
    </w:p>
    <w:p w14:paraId="79D814C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below.</w:t>
      </w:r>
    </w:p>
    <w:p w14:paraId="71A22FE5" w14:textId="03C0BAC2"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An AltMoC does not allow deviation from </w:t>
      </w:r>
      <w:r w:rsidR="002B3D58">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or implementing acts.</w:t>
      </w:r>
    </w:p>
    <w:p w14:paraId="76144C1D" w14:textId="3440EF26"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   AltMoC established by an organisation and approved by its competent authority: An organisation wishing to use a different means of compliance than the one published by the </w:t>
      </w:r>
      <w:r w:rsidR="00694612">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can propose and implement an AltMoC only once the competent authority approves it. In this case, the organisation is responsible for demonstrating how that AltMoC establishes compliance with the Regulation. This approval will be granted by its competent authority on an individual basis and restricted to that specific applicant. Other organisations wishing to use the same means of compliance should follow </w:t>
      </w:r>
      <w:r w:rsidRPr="00AD3643">
        <w:rPr>
          <w:rFonts w:ascii="Times New Roman" w:hAnsi="Times New Roman" w:cs="Times New Roman"/>
          <w:sz w:val="24"/>
          <w:szCs w:val="24"/>
          <w:lang w:val="en-US"/>
        </w:rPr>
        <w:lastRenderedPageBreak/>
        <w:t>the AltMoC process (demonstrating compliance with the Regulation) and obtain individual approval from their competent authority.</w:t>
      </w:r>
    </w:p>
    <w:p w14:paraId="6935CC8B" w14:textId="039849C0" w:rsidR="00E52167" w:rsidRPr="00AD3643" w:rsidRDefault="00E52167" w:rsidP="00C95D06">
      <w:pPr>
        <w:pStyle w:val="Heading2"/>
        <w:spacing w:after="0"/>
        <w:jc w:val="both"/>
        <w:rPr>
          <w:rFonts w:ascii="Times New Roman" w:hAnsi="Times New Roman" w:cs="Times New Roman"/>
          <w:sz w:val="24"/>
          <w:szCs w:val="24"/>
          <w:lang w:val="en-US"/>
        </w:rPr>
      </w:pPr>
      <w:bookmarkStart w:id="268" w:name="toc_sec_0126"/>
      <w:bookmarkStart w:id="269" w:name="_Toc241066142"/>
      <w:r w:rsidRPr="00AD3643">
        <w:rPr>
          <w:rFonts w:ascii="Times New Roman" w:hAnsi="Times New Roman" w:cs="Times New Roman"/>
          <w:sz w:val="24"/>
          <w:szCs w:val="24"/>
          <w:lang w:val="en-US"/>
        </w:rPr>
        <w:t>GM2 145.A.120 Means of Compliance</w:t>
      </w:r>
      <w:bookmarkEnd w:id="268"/>
      <w:bookmarkEnd w:id="269"/>
    </w:p>
    <w:p w14:paraId="4FF4E1A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WHEN AN ALTERNATIVE MEANS OF COMPLIANCE IS NEEDED</w:t>
      </w:r>
    </w:p>
    <w:p w14:paraId="00810EB3" w14:textId="5A8383DD"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When there is no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AMC for a certain requirement in the Regulation, the means of compliance</w:t>
      </w:r>
    </w:p>
    <w:p w14:paraId="721D8C6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proposed by the organisation to that point of the Regulation do not need to go through the AltMoC</w:t>
      </w:r>
    </w:p>
    <w:p w14:paraId="79FF428D" w14:textId="738B18B1"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process. It is the responsibility of the </w:t>
      </w:r>
      <w:r w:rsidR="00AD4AA2">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to verify that compliance with the</w:t>
      </w:r>
      <w:r w:rsidR="00AD4AA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Regulation is met. However, in certain cases the organisation may propose, and the competent</w:t>
      </w:r>
      <w:r w:rsidR="00AD4AA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authority may agree, to have such means of compliance follow the AltMoC process.</w:t>
      </w:r>
    </w:p>
    <w:p w14:paraId="50A917AE" w14:textId="330C361E"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When there is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AMC, the AltMoC process is needed in the following (not exhaustive) cases:</w:t>
      </w:r>
    </w:p>
    <w:p w14:paraId="01FE3CD1" w14:textId="64F5051A"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a means to comply with the Regulation is technically different in character to the AMC published by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w:t>
      </w:r>
    </w:p>
    <w:p w14:paraId="116FBFCC" w14:textId="53A6EF04"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A Form is significantly different from the one proposed in the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AMC. Note: A Form required by the delegated and implementing acts cannot be changed.</w:t>
      </w:r>
    </w:p>
    <w:p w14:paraId="071DAC7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Examples of issues not considered to require an AltMoC process include, but are not limited to:</w:t>
      </w:r>
    </w:p>
    <w:p w14:paraId="186EE472" w14:textId="2A3E4C2E"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editorial changes to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AMC, as long as it does not change the intent of the AMC;</w:t>
      </w:r>
    </w:p>
    <w:p w14:paraId="713EA342" w14:textId="3A993B24"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transposing an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AMC into the organisational structure, organisational processes, or standard operating procedures with different wording and terminology customised to the organisation’s environment, if this does not change the intent of the AMC and its associated level of safety.</w:t>
      </w:r>
    </w:p>
    <w:p w14:paraId="194F38AC" w14:textId="4661E60A" w:rsidR="00E52167" w:rsidRPr="00AD3643" w:rsidRDefault="00E52167" w:rsidP="00C95D06">
      <w:pPr>
        <w:pStyle w:val="Heading2"/>
        <w:spacing w:after="0"/>
        <w:jc w:val="both"/>
        <w:rPr>
          <w:rFonts w:ascii="Times New Roman" w:hAnsi="Times New Roman" w:cs="Times New Roman"/>
          <w:sz w:val="24"/>
          <w:szCs w:val="24"/>
          <w:lang w:val="en-US"/>
        </w:rPr>
      </w:pPr>
      <w:bookmarkStart w:id="270" w:name="toc_sec_0127"/>
      <w:bookmarkStart w:id="271" w:name="_Toc241066143"/>
      <w:r w:rsidRPr="00AD3643">
        <w:rPr>
          <w:rFonts w:ascii="Times New Roman" w:hAnsi="Times New Roman" w:cs="Times New Roman"/>
          <w:sz w:val="24"/>
          <w:szCs w:val="24"/>
          <w:lang w:val="en-US"/>
        </w:rPr>
        <w:t>AMC1 145.A.120(b) Means of compliance</w:t>
      </w:r>
      <w:bookmarkEnd w:id="270"/>
      <w:bookmarkEnd w:id="271"/>
    </w:p>
    <w:p w14:paraId="0F3DED2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DESCRIPTION SUPPORTING THE ALTERNATIVE MEANS OF COMPLIANCE</w:t>
      </w:r>
    </w:p>
    <w:p w14:paraId="55C00D1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description of the AltMoC should include:</w:t>
      </w:r>
    </w:p>
    <w:p w14:paraId="43C32B5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summary of the AltMoC;</w:t>
      </w:r>
    </w:p>
    <w:p w14:paraId="31623F0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content of the AltMoC;</w:t>
      </w:r>
    </w:p>
    <w:p w14:paraId="2118157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statement that compliance with the Regulation is achieved; and</w:t>
      </w:r>
    </w:p>
    <w:p w14:paraId="33FCDCC9" w14:textId="4ACF457A"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in support of that statement, an assessment demonstrating that the AltMoC reaches an acceptable level of safety, taking into account the level of safety provided by the corresponding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AMC.</w:t>
      </w:r>
    </w:p>
    <w:p w14:paraId="06AEE15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All these elements describing the AltMoC form an integral part of the management system records to be kept in accordance with 145.A.55.</w:t>
      </w:r>
    </w:p>
    <w:p w14:paraId="015338C0" w14:textId="25B90E9C" w:rsidR="00E52167" w:rsidRPr="00AD3643" w:rsidRDefault="00E52167" w:rsidP="00C95D06">
      <w:pPr>
        <w:pStyle w:val="Heading2"/>
        <w:spacing w:after="0"/>
        <w:jc w:val="both"/>
        <w:rPr>
          <w:rFonts w:ascii="Times New Roman" w:hAnsi="Times New Roman" w:cs="Times New Roman"/>
          <w:sz w:val="24"/>
          <w:szCs w:val="24"/>
          <w:lang w:val="en-US"/>
        </w:rPr>
      </w:pPr>
      <w:bookmarkStart w:id="272" w:name="toc_sec_0128"/>
      <w:bookmarkStart w:id="273" w:name="_Toc241066144"/>
      <w:r w:rsidRPr="00AD3643">
        <w:rPr>
          <w:rFonts w:ascii="Times New Roman" w:hAnsi="Times New Roman" w:cs="Times New Roman"/>
          <w:sz w:val="24"/>
          <w:szCs w:val="24"/>
          <w:lang w:val="en-US"/>
        </w:rPr>
        <w:t>GM1 145.A.200 Management system</w:t>
      </w:r>
      <w:bookmarkEnd w:id="272"/>
      <w:bookmarkEnd w:id="273"/>
    </w:p>
    <w:p w14:paraId="70B4DA8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Safety management seeks to proactively identify hazards and to mitigate the related safety risks</w:t>
      </w:r>
    </w:p>
    <w:p w14:paraId="652FDFB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before they result in aviation accidents and incidents. Safety management enables an organisation to</w:t>
      </w:r>
    </w:p>
    <w:p w14:paraId="78A5FB6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manage its activities in a more systematic and focused manner. When an organisation has a clear</w:t>
      </w:r>
    </w:p>
    <w:p w14:paraId="12AA26F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understanding of its role and contribution to aviation safety, it can prioritise safety risks and more</w:t>
      </w:r>
    </w:p>
    <w:p w14:paraId="24A57A1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effectively manage their resources and obtain optimal results.</w:t>
      </w:r>
    </w:p>
    <w:p w14:paraId="7B4AA71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principles of the requirements in points 145.A.200, 145.A.202, 145.A.205 and the related AMC</w:t>
      </w:r>
    </w:p>
    <w:p w14:paraId="79F80CA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constitute the EU management system framework for aviation safety management. This framework</w:t>
      </w:r>
    </w:p>
    <w:p w14:paraId="3C0ADFB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addresses the core elements of the ICAO safety management system (SMS) framework defined in</w:t>
      </w:r>
    </w:p>
    <w:p w14:paraId="0834BF4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Appendix 2 to Annex 19, includes the elements of the compliance monitoring system, and promotes</w:t>
      </w:r>
    </w:p>
    <w:p w14:paraId="6A9BCEA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 integrated approach to the management of an organisation. It facilitates the introduction of the</w:t>
      </w:r>
    </w:p>
    <w:p w14:paraId="7654BDA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additional safety management components, building upon the existing management system, rather</w:t>
      </w:r>
    </w:p>
    <w:p w14:paraId="2BFCA4B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than adding them as a separate framework.</w:t>
      </w:r>
    </w:p>
    <w:p w14:paraId="1647831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This approach is intended to encourage organisations to embed safety management and risk-based</w:t>
      </w:r>
    </w:p>
    <w:p w14:paraId="507D63F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decision-making into all their activities, instead of superimposing another system onto their existing</w:t>
      </w:r>
    </w:p>
    <w:p w14:paraId="1F8D6553" w14:textId="288AE092"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management system and governance structure. In addition, if the organisation holds multiple</w:t>
      </w:r>
      <w:r w:rsidR="002B3D58">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 xml:space="preserve">organisation certificates within the scope of </w:t>
      </w:r>
      <w:r w:rsidR="002B3D58">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it may choose to implement</w:t>
      </w:r>
      <w:r w:rsidR="002B3D58">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 single management system to cover all of its activities. An integrated management system may not</w:t>
      </w:r>
      <w:r w:rsidR="002B3D58">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 xml:space="preserve">only be used to capture management system requirements resulting from </w:t>
      </w:r>
      <w:r w:rsidR="002B3D58">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w:t>
      </w:r>
      <w:r w:rsidR="002B3D58">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but also could cover other regulatory frameworks requiring compliance with Annex 19 or other</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business management systems such as security, occupational health and environmental management</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systems. Integration will remove any duplication and exploit synergies by managing safety risks across</w:t>
      </w:r>
    </w:p>
    <w:p w14:paraId="0E74E55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multiple activities. Organisations may determine the best means to structure their management</w:t>
      </w:r>
    </w:p>
    <w:p w14:paraId="358EF95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systems to suit their business and organisational needs.</w:t>
      </w:r>
    </w:p>
    <w:p w14:paraId="48FF99E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core part of the management system framework (145.A.200) focuses on what is essential to</w:t>
      </w:r>
    </w:p>
    <w:p w14:paraId="10C007F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manage safety, by mandating the organisation to:</w:t>
      </w:r>
    </w:p>
    <w:p w14:paraId="31FE486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clearly define accountabilities and responsibilities;</w:t>
      </w:r>
    </w:p>
    <w:p w14:paraId="032D523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establish a safety policy and the related safety objectives;</w:t>
      </w:r>
    </w:p>
    <w:p w14:paraId="7CB6FE6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implement safety reporting procedures in line with just culture principles;</w:t>
      </w:r>
    </w:p>
    <w:p w14:paraId="134AEF7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ensure the identification of aviation safety hazards entailed by its activities, ensure their evaluation, and the management of the associated risks, including:</w:t>
      </w:r>
    </w:p>
    <w:p w14:paraId="3CD1999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taking actions to mitigate the risks;</w:t>
      </w:r>
    </w:p>
    <w:p w14:paraId="4FFE559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verifying the effectiveness of the actions taken to mitigate the risks;</w:t>
      </w:r>
    </w:p>
    <w:p w14:paraId="6B26D8A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monitor compliance, while considering any additional requirements that are applicable to the organisation;</w:t>
      </w:r>
    </w:p>
    <w:p w14:paraId="4C5335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keep their personnel trained, competent, and informed about significant safety issues; and</w:t>
      </w:r>
    </w:p>
    <w:p w14:paraId="2F3CE76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document all the key management system processes.</w:t>
      </w:r>
    </w:p>
    <w:p w14:paraId="4E86680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Compared with the previous Part-145 quality system ‘framework’ (now covered by point (b) and (e)),</w:t>
      </w:r>
    </w:p>
    <w:p w14:paraId="1551E04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new elements that are introduced by the management system are, in particular, those addressed</w:t>
      </w:r>
    </w:p>
    <w:p w14:paraId="0116212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under points (c) and (d).</w:t>
      </w:r>
    </w:p>
    <w:p w14:paraId="49024D0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Points (a), (b) and (g) address component 1 ‘Safety policy and objectives’ of the ICAO SMS framework.</w:t>
      </w:r>
    </w:p>
    <w:p w14:paraId="7850DA8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Points (c) and (d)(1) address component 2 ‘Safety Risk Management’ of the ICAO SMS framework.</w:t>
      </w:r>
    </w:p>
    <w:p w14:paraId="5A6839C8" w14:textId="58FD23F5"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Point (d)(2) addresses component 3 ‘Safety Assurance’ of the ICAO SMS framework. Finally, point (f)</w:t>
      </w:r>
      <w:r w:rsidR="00C768E9">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addresses component 4 ‘Safety Promotion’ of the ICAO SMS framework.</w:t>
      </w:r>
    </w:p>
    <w:p w14:paraId="6B7D9FB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Point 145.A.200 introduces the following as key safety management processes; these are further</w:t>
      </w:r>
    </w:p>
    <w:p w14:paraId="4D645B0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specified in the related AMC and GM:</w:t>
      </w:r>
    </w:p>
    <w:p w14:paraId="1E054D5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Hazard identification;</w:t>
      </w:r>
    </w:p>
    <w:p w14:paraId="4C752A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Safety risk management;</w:t>
      </w:r>
    </w:p>
    <w:p w14:paraId="45EA2C7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Internal investigation;</w:t>
      </w:r>
    </w:p>
    <w:p w14:paraId="43B8649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Safety performance monitoring and measurement;</w:t>
      </w:r>
    </w:p>
    <w:p w14:paraId="13F6BCE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Management of change;</w:t>
      </w:r>
    </w:p>
    <w:p w14:paraId="7BB9ECE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Continuous improvement;</w:t>
      </w:r>
    </w:p>
    <w:p w14:paraId="26C1D42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Immediate safety action and coordination with the aircraft operator’s Emergency Response Plan (ERP).</w:t>
      </w:r>
    </w:p>
    <w:p w14:paraId="654E7D94" w14:textId="0D8B5AC8"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It is important to recognise that safety management will be a continuous activity, as hazards, risks and</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the effectiveness of safety risk mitigations will change over time.</w:t>
      </w:r>
    </w:p>
    <w:p w14:paraId="0F3475B4"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These key safety management processes are supported by a compliance monitoring function as an</w:t>
      </w:r>
    </w:p>
    <w:p w14:paraId="6A94332F"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integral part of the management system. Most aviation safety regulations constitute generic safety</w:t>
      </w:r>
    </w:p>
    <w:p w14:paraId="527C8623"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risk controls established by the ‘regulator’. Therefore, ensuring effective compliance with the</w:t>
      </w:r>
    </w:p>
    <w:p w14:paraId="0E32D46B"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regulations during daily operations and independent monitoring of compliance are fundamental to</w:t>
      </w:r>
    </w:p>
    <w:p w14:paraId="506A32AB" w14:textId="0C365FB2"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any management system for safety. The compliance monitoring function may, in addition, support the</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follow-up of safety risk mitigation actions. Moreover, where non-compliances are identified through</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internal audits, the causes will be thoroughly assessed and analysed. Such an analysis in return</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supports the risk management process by providing insights into causal and contributing factors,</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including human factors, organisational factors and the environment in which the organisation</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operates. In this way, the outputs of compliance monitoring become some of the various inputs to the</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safety risk management functions. Conversely, the output of the safety risk management processes</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may be used to determine focus areas for compliance monitoring. In this way, internal audits will</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inform the organisation’s management of the level of compliance within the organisation, whether</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safety risk mitigation actions have been implemented, and where corrective or preventive action is</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required. The combination of safety risk management and compliance monitoring should lead to an</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enhanced understanding of the end-to-end process and the process interfaces, exposing</w:t>
      </w:r>
    </w:p>
    <w:p w14:paraId="1526A0AB"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opportunities for increased efficiencies, which are not limited to safety aspects.</w:t>
      </w:r>
    </w:p>
    <w:p w14:paraId="05EE6BBC"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 aviation is a complex system with many organisations and individuals interacting together, the</w:t>
      </w:r>
    </w:p>
    <w:p w14:paraId="0AAAD67D" w14:textId="6D48642D"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primary focus of the key safety management processes is on the organisational processes and</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procedures, but it also relies on the humans in the system. The organisation and the way in which it</w:t>
      </w:r>
    </w:p>
    <w:p w14:paraId="482AE7DD" w14:textId="3B65FA62"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operates can have a significant impact on human performance. Therefore, safety management</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necessarily addresses how humans can contribute both positively and negatively to an organisation’s</w:t>
      </w:r>
    </w:p>
    <w:p w14:paraId="310DE479"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safety outcomes, recognising that human behaviour is influenced by the organisational environment.</w:t>
      </w:r>
    </w:p>
    <w:p w14:paraId="7D02D1F7"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effectiveness of safety management largely depends on the degree of commitment of the senior</w:t>
      </w:r>
    </w:p>
    <w:p w14:paraId="703DF307"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management to create a working environment that optimises human performance and encourages</w:t>
      </w:r>
    </w:p>
    <w:p w14:paraId="13A14EF4"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personnel to actively engage in and contribute to the organisation’s management processes. Similarly,</w:t>
      </w:r>
    </w:p>
    <w:p w14:paraId="2E5EA069"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positive safety culture relies on a high degree of trust and respect between the personnel and the</w:t>
      </w:r>
    </w:p>
    <w:p w14:paraId="7F3CB7B4" w14:textId="77777777"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management, and it must therefore be created and supported at the senior management level. If the</w:t>
      </w:r>
    </w:p>
    <w:p w14:paraId="525708CF" w14:textId="71117896" w:rsidR="00E52167" w:rsidRPr="00AD3643" w:rsidRDefault="00E52167" w:rsidP="00753C17">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management does not treat individuals who identify hazards and report adverse events in a</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consistently fair and just way, those individuals are unlikely to be willing to communicate safety issues</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or to work with the management to effectively address the safety risks. As with trust, a positive safety</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culture takes time and effort to establish, and it can be easily lost.</w:t>
      </w:r>
    </w:p>
    <w:p w14:paraId="4B7ED986" w14:textId="2A42E1AE"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It is further recognised that the introduction of processes for hazard identification and risk</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assessment, mitigation and verification of the effectiveness of such mitigation actions will create</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immediate and direct costs, while related benefits are sometimes intangible, and may take time to</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materialise. Over time, an effective management system will not only address the risks of major</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occurrences, but also identify and address production inefficiencies, improve communication, foster</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 better organisational culture, and lead to a more effective control of contractors and suppliers. In</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addition, through an improved relationship with the authority, an effective management system may</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result in a reduced oversight burden.</w:t>
      </w:r>
    </w:p>
    <w:p w14:paraId="14A05B7C" w14:textId="4BA40EE3"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Thus, by viewing safety management and the related organisational policies and key processes as</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items that are implemented not only to prevent incidents and accidents, but also to meet the</w:t>
      </w:r>
      <w:r w:rsidR="00753C17">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organisation’s strategic objectives, any investment in safety should be seen as an investment in</w:t>
      </w:r>
    </w:p>
    <w:p w14:paraId="66E26E6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productivity and organisational success.</w:t>
      </w:r>
    </w:p>
    <w:p w14:paraId="05075BBE" w14:textId="1F854433" w:rsidR="00E52167" w:rsidRPr="00AD3643" w:rsidRDefault="00E52167" w:rsidP="00C95D06">
      <w:pPr>
        <w:pStyle w:val="Heading2"/>
        <w:spacing w:after="0"/>
        <w:jc w:val="both"/>
        <w:rPr>
          <w:rFonts w:ascii="Times New Roman" w:hAnsi="Times New Roman" w:cs="Times New Roman"/>
          <w:sz w:val="24"/>
          <w:szCs w:val="24"/>
          <w:lang w:val="en-US"/>
        </w:rPr>
      </w:pPr>
      <w:bookmarkStart w:id="274" w:name="toc_sec_0129"/>
      <w:bookmarkStart w:id="275" w:name="_Toc241066145"/>
      <w:r w:rsidRPr="00AD3643">
        <w:rPr>
          <w:rFonts w:ascii="Times New Roman" w:hAnsi="Times New Roman" w:cs="Times New Roman"/>
          <w:sz w:val="24"/>
          <w:szCs w:val="24"/>
          <w:lang w:val="en-US"/>
        </w:rPr>
        <w:t>AMC1 145.A.200(a)(1) Management system</w:t>
      </w:r>
      <w:bookmarkEnd w:id="274"/>
      <w:bookmarkEnd w:id="275"/>
    </w:p>
    <w:p w14:paraId="06572F11"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ORGANISATION AND ACCOUNTABILITIES</w:t>
      </w:r>
    </w:p>
    <w:p w14:paraId="59B544A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management system should encompass safety by including a safety manager and a safety review board in the organisational structure. The functions of the safety manager are those defined in AMC1 145.A.30(c);(ca).</w:t>
      </w:r>
    </w:p>
    <w:p w14:paraId="1A171A8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Safety review board</w:t>
      </w:r>
    </w:p>
    <w:p w14:paraId="0361637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safety review board should be a high-level committee that considers matters of strategic safety in support of the accountable manager’s safety accountability.</w:t>
      </w:r>
    </w:p>
    <w:p w14:paraId="4A30BAF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board should be chaired by the accountable manager and composed of the person or group of persons nominated under points 145.A.30.</w:t>
      </w:r>
    </w:p>
    <w:p w14:paraId="4A80A80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safety review board should monitor:</w:t>
      </w:r>
    </w:p>
    <w:p w14:paraId="44BB3E1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safety performance against the safety policy and objectives;</w:t>
      </w:r>
    </w:p>
    <w:p w14:paraId="5E4A6DA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that any safety action is taken in a timely manner; and</w:t>
      </w:r>
    </w:p>
    <w:p w14:paraId="685E2D7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the effectiveness of the organisation’s management system processes.</w:t>
      </w:r>
    </w:p>
    <w:p w14:paraId="0003CB4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safety review board may also be tasked with:</w:t>
      </w:r>
    </w:p>
    <w:p w14:paraId="2C997B5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reviewing the results of compliance monitoring;</w:t>
      </w:r>
    </w:p>
    <w:p w14:paraId="171CB23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monitoring the implementation of related corrective and preventive actions.</w:t>
      </w:r>
    </w:p>
    <w:p w14:paraId="42ECA1F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safety review board should ensure that appropriate resources are allocated to achieve the established safety objectives.</w:t>
      </w:r>
    </w:p>
    <w:p w14:paraId="0B0F07C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Notwithstanding point (a), where justified by the size of the organisation and the nature and complexity of its activities and subject to a risk assessment and agreement by the competent authority, the organisation may not need to establish a formal safety review board. In this case, the tasks normally allocated to the safety review board should be allocated to the safety manager.</w:t>
      </w:r>
    </w:p>
    <w:p w14:paraId="3EB001B6" w14:textId="740AB841" w:rsidR="00E52167" w:rsidRPr="00AD3643" w:rsidRDefault="00E52167" w:rsidP="00C95D06">
      <w:pPr>
        <w:pStyle w:val="Heading2"/>
        <w:spacing w:after="0"/>
        <w:jc w:val="both"/>
        <w:rPr>
          <w:rFonts w:ascii="Times New Roman" w:hAnsi="Times New Roman" w:cs="Times New Roman"/>
          <w:sz w:val="24"/>
          <w:szCs w:val="24"/>
          <w:lang w:val="en-US"/>
        </w:rPr>
      </w:pPr>
      <w:bookmarkStart w:id="276" w:name="toc_sec_0130"/>
      <w:bookmarkStart w:id="277" w:name="_Toc241066146"/>
      <w:r w:rsidRPr="00AD3643">
        <w:rPr>
          <w:rFonts w:ascii="Times New Roman" w:hAnsi="Times New Roman" w:cs="Times New Roman"/>
          <w:sz w:val="24"/>
          <w:szCs w:val="24"/>
          <w:lang w:val="en-US"/>
        </w:rPr>
        <w:t>GM1 145.A.200(a)(1) Management system</w:t>
      </w:r>
      <w:bookmarkEnd w:id="276"/>
      <w:bookmarkEnd w:id="277"/>
    </w:p>
    <w:p w14:paraId="013E7219"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ACTION GROUP</w:t>
      </w:r>
    </w:p>
    <w:p w14:paraId="53ABC76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Depending on the size of the organisation and the nature and complexity of its activities, a safety action group may be established as a standing group or as an ad hoc group to assist, or act on behalf of the safety manager or the safety review board.</w:t>
      </w:r>
    </w:p>
    <w:p w14:paraId="000E901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More than one safety action group may be established, depending on the scope of the task and the specific expertise required.</w:t>
      </w:r>
    </w:p>
    <w:p w14:paraId="49BAB2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safety action group usually reports to, and takes strategic direction from, the safety review board, and may be composed of managers, supervisors and personnel from operational areas.</w:t>
      </w:r>
    </w:p>
    <w:p w14:paraId="1A5CB56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safety action group may be tasked or assist with:</w:t>
      </w:r>
    </w:p>
    <w:p w14:paraId="71A9014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monitoring safety performance;</w:t>
      </w:r>
    </w:p>
    <w:p w14:paraId="7BA38D4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defining actions to control risks to an acceptable level;</w:t>
      </w:r>
    </w:p>
    <w:p w14:paraId="4C6F164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assessing the impact of organisational changes on safety;</w:t>
      </w:r>
    </w:p>
    <w:p w14:paraId="5CB6CB5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ensuring that safety actions are implemented within the agreed timescales;</w:t>
      </w:r>
    </w:p>
    <w:p w14:paraId="6BA43DE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(5)   reviewing the effectiveness of previous safety actions and safety promotion.</w:t>
      </w:r>
    </w:p>
    <w:p w14:paraId="6A078D95" w14:textId="7514F97B" w:rsidR="00E52167" w:rsidRPr="00AD3643" w:rsidRDefault="00E52167" w:rsidP="00C95D06">
      <w:pPr>
        <w:pStyle w:val="Heading2"/>
        <w:spacing w:after="0"/>
        <w:jc w:val="both"/>
        <w:rPr>
          <w:rFonts w:ascii="Times New Roman" w:hAnsi="Times New Roman" w:cs="Times New Roman"/>
          <w:sz w:val="24"/>
          <w:szCs w:val="24"/>
          <w:lang w:val="en-US"/>
        </w:rPr>
      </w:pPr>
      <w:bookmarkStart w:id="278" w:name="toc_sec_0131"/>
      <w:bookmarkStart w:id="279" w:name="_Toc241066147"/>
      <w:r w:rsidRPr="00AD3643">
        <w:rPr>
          <w:rFonts w:ascii="Times New Roman" w:hAnsi="Times New Roman" w:cs="Times New Roman"/>
          <w:sz w:val="24"/>
          <w:szCs w:val="24"/>
          <w:lang w:val="en-US"/>
        </w:rPr>
        <w:t>GM2 145.A.200(a)(1) Management system</w:t>
      </w:r>
      <w:bookmarkEnd w:id="278"/>
      <w:bookmarkEnd w:id="279"/>
    </w:p>
    <w:p w14:paraId="3ECF6C70"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MEANING OF THE TERMS ‘ACCOUNTABILITY’ AND ‘RESPONSIBILITY’</w:t>
      </w:r>
    </w:p>
    <w:p w14:paraId="367FE05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the English language, the notion of accountability is different from the notion of responsibility.</w:t>
      </w:r>
    </w:p>
    <w:p w14:paraId="62CDAF9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Whereas ‘accountability’ refers to an obligation which cannot be delegated, ‘responsibility’ refers to</w:t>
      </w:r>
    </w:p>
    <w:p w14:paraId="07D6DD4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 obligation that can be delegated.</w:t>
      </w:r>
    </w:p>
    <w:p w14:paraId="6CB57CC4" w14:textId="75C42CD3" w:rsidR="00E52167" w:rsidRPr="00AD3643" w:rsidRDefault="00E52167" w:rsidP="00C95D06">
      <w:pPr>
        <w:pStyle w:val="Heading2"/>
        <w:spacing w:after="0"/>
        <w:jc w:val="both"/>
        <w:rPr>
          <w:rFonts w:ascii="Times New Roman" w:hAnsi="Times New Roman" w:cs="Times New Roman"/>
          <w:sz w:val="24"/>
          <w:szCs w:val="24"/>
          <w:lang w:val="en-US"/>
        </w:rPr>
      </w:pPr>
      <w:bookmarkStart w:id="280" w:name="toc_sec_0132"/>
      <w:bookmarkStart w:id="281" w:name="_Toc241066148"/>
      <w:r w:rsidRPr="00AD3643">
        <w:rPr>
          <w:rFonts w:ascii="Times New Roman" w:hAnsi="Times New Roman" w:cs="Times New Roman"/>
          <w:sz w:val="24"/>
          <w:szCs w:val="24"/>
          <w:lang w:val="en-US"/>
        </w:rPr>
        <w:t>AMC1 145.A.200(a)(2) Management system</w:t>
      </w:r>
      <w:bookmarkEnd w:id="280"/>
      <w:bookmarkEnd w:id="281"/>
    </w:p>
    <w:p w14:paraId="098061BE"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POLICY AND OBJECTIVES</w:t>
      </w:r>
    </w:p>
    <w:p w14:paraId="1D32774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safety policy should:</w:t>
      </w:r>
    </w:p>
    <w:p w14:paraId="34170D6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reflect organisational commitments regarding safety, and its proactive and systematic management, including the promotion of a positive safety culture;</w:t>
      </w:r>
    </w:p>
    <w:p w14:paraId="7368FE4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include internal reporting principles, and encourage                    personnel    to    report maintenance-related errors, incidents and hazards;</w:t>
      </w:r>
    </w:p>
    <w:p w14:paraId="1DEEF06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recognise the need for all personnel to cooperate with the compliance monitoring and internal investigations referred to under point (c) of AMC1 145.A.200(a)(3);</w:t>
      </w:r>
    </w:p>
    <w:p w14:paraId="7289BC1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be endorsed by the accountable manager;</w:t>
      </w:r>
    </w:p>
    <w:p w14:paraId="2901B74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be communicated, with visible endorsement, throughout the organisation; and</w:t>
      </w:r>
    </w:p>
    <w:p w14:paraId="41E1725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be periodically reviewed to ensure it remains relevant and appropriate for the organisation.</w:t>
      </w:r>
    </w:p>
    <w:p w14:paraId="00EB5E8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safety policy should include a commitment to:</w:t>
      </w:r>
    </w:p>
    <w:p w14:paraId="60951C8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comply with all the applicable legislation, to meet all the applicable requirements, and adopt practices to improve safety standards;</w:t>
      </w:r>
    </w:p>
    <w:p w14:paraId="5373700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provide the necessary resources for the implementation of the safety policy;</w:t>
      </w:r>
    </w:p>
    <w:p w14:paraId="0E9EC3A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apply human factors principles, including giving due consideration to the aspect of fatigue;</w:t>
      </w:r>
    </w:p>
    <w:p w14:paraId="7BC5574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enforce safety as a primary responsibility of all managers; and</w:t>
      </w:r>
    </w:p>
    <w:p w14:paraId="5CB1342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apply ‘just culture’ principles to internal safety reporting and the investigation of occurrences and, in particular, not to make available or use the information on occurrences:</w:t>
      </w:r>
    </w:p>
    <w:p w14:paraId="152B7AF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to attribute blame or liability to front-line personnel or other persons for actions, omissions or decisions taken by them that are commensurate with their experience and training; or</w:t>
      </w:r>
    </w:p>
    <w:p w14:paraId="401A112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for any purpose other than maintaining or improving aviation safety.</w:t>
      </w:r>
    </w:p>
    <w:p w14:paraId="4311E05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Senior management should continually promote the safety policy to all personnel, demonstrate its commitment to it, and provide necessary human and financial resources for its implementation.</w:t>
      </w:r>
    </w:p>
    <w:p w14:paraId="1FD7254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Taking due account of its safety policy, the organisation should define safety objectives. The safety objectives should:</w:t>
      </w:r>
    </w:p>
    <w:p w14:paraId="1BBE8BF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form the basis for safety performance monitoring and measurement;</w:t>
      </w:r>
    </w:p>
    <w:p w14:paraId="780CFEF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reflect the organisation’s commitment to maintain or continuously improve the overall effectiveness of the management system;</w:t>
      </w:r>
    </w:p>
    <w:p w14:paraId="259D267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be communicated throughout the organisation; and</w:t>
      </w:r>
    </w:p>
    <w:p w14:paraId="18D95EA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be periodically reviewed to ensure they remain relevant and appropriate for the organisation.</w:t>
      </w:r>
    </w:p>
    <w:p w14:paraId="30B01A66" w14:textId="535C151D" w:rsidR="00E52167" w:rsidRPr="00AD3643" w:rsidRDefault="00E52167" w:rsidP="00C95D06">
      <w:pPr>
        <w:pStyle w:val="Heading2"/>
        <w:spacing w:after="0"/>
        <w:jc w:val="both"/>
        <w:rPr>
          <w:rFonts w:ascii="Times New Roman" w:hAnsi="Times New Roman" w:cs="Times New Roman"/>
          <w:sz w:val="24"/>
          <w:szCs w:val="24"/>
          <w:lang w:val="en-US"/>
        </w:rPr>
      </w:pPr>
      <w:bookmarkStart w:id="282" w:name="toc_sec_0133"/>
      <w:bookmarkStart w:id="283" w:name="_Toc241066149"/>
      <w:r w:rsidRPr="00AD3643">
        <w:rPr>
          <w:rFonts w:ascii="Times New Roman" w:hAnsi="Times New Roman" w:cs="Times New Roman"/>
          <w:sz w:val="24"/>
          <w:szCs w:val="24"/>
          <w:lang w:val="en-US"/>
        </w:rPr>
        <w:lastRenderedPageBreak/>
        <w:t>GM1 145.A.200(a)(2) Management system</w:t>
      </w:r>
      <w:bookmarkEnd w:id="282"/>
      <w:bookmarkEnd w:id="283"/>
    </w:p>
    <w:p w14:paraId="6EF18AA0"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POLICY</w:t>
      </w:r>
    </w:p>
    <w:p w14:paraId="4360189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safety policy is the means whereby the organisation states its intention to maintain and, where practicable, improve safety levels in all its activities and to minimise its contribution to the risk of an aircraft accident or serious incident as far as is reasonably practicable. It reflects the management’s commitment to safety, and should reflect the organisation’s philosophy of safety management, as well as being the foundation on which the organisation’s management</w:t>
      </w:r>
    </w:p>
    <w:p w14:paraId="589BDAB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system is built. It serves as a reminder of ‘how we do business here’. The creation of a positive safety culture begins with the issuance of a clear, unequivocal policy.</w:t>
      </w:r>
    </w:p>
    <w:p w14:paraId="6E23002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commitment to apply ‘just culture’ principles forms the basis for the organisation’s internal rules describing how ‘just culture’ principles are guaranteed and implemented.</w:t>
      </w:r>
    </w:p>
    <w:p w14:paraId="4FCA28FE" w14:textId="5B89CA5D"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For organisations that have their principal place of business in a</w:t>
      </w:r>
      <w:r w:rsidR="00435063">
        <w:rPr>
          <w:rFonts w:ascii="Times New Roman" w:hAnsi="Times New Roman" w:cs="Times New Roman"/>
          <w:sz w:val="24"/>
          <w:szCs w:val="24"/>
          <w:lang w:val="en-US"/>
        </w:rPr>
        <w:t xml:space="preserve"> RM</w:t>
      </w:r>
      <w:r w:rsidRPr="00AD3643">
        <w:rPr>
          <w:rFonts w:ascii="Times New Roman" w:hAnsi="Times New Roman" w:cs="Times New Roman"/>
          <w:sz w:val="24"/>
          <w:szCs w:val="24"/>
          <w:lang w:val="en-US"/>
        </w:rPr>
        <w:t xml:space="preserve">, </w:t>
      </w:r>
      <w:r w:rsidR="00753C17">
        <w:rPr>
          <w:rFonts w:ascii="Times New Roman" w:hAnsi="Times New Roman" w:cs="Times New Roman"/>
          <w:sz w:val="24"/>
          <w:szCs w:val="24"/>
          <w:lang w:val="en-US"/>
        </w:rPr>
        <w:t>RAC-RAASEAC</w:t>
      </w:r>
      <w:r w:rsidRPr="00AD3643">
        <w:rPr>
          <w:rFonts w:ascii="Times New Roman" w:hAnsi="Times New Roman" w:cs="Times New Roman"/>
          <w:sz w:val="24"/>
          <w:szCs w:val="24"/>
          <w:lang w:val="en-US"/>
        </w:rPr>
        <w:t xml:space="preserve"> defines the ‘just culture’ principles to be applied.</w:t>
      </w:r>
    </w:p>
    <w:p w14:paraId="49E684B0" w14:textId="2B4C961B" w:rsidR="00E52167" w:rsidRPr="00AD3643" w:rsidRDefault="00E52167" w:rsidP="00C95D06">
      <w:pPr>
        <w:pStyle w:val="Heading2"/>
        <w:spacing w:after="0"/>
        <w:jc w:val="both"/>
        <w:rPr>
          <w:rFonts w:ascii="Times New Roman" w:hAnsi="Times New Roman" w:cs="Times New Roman"/>
          <w:sz w:val="24"/>
          <w:szCs w:val="24"/>
          <w:lang w:val="en-US"/>
        </w:rPr>
      </w:pPr>
      <w:bookmarkStart w:id="284" w:name="toc_sec_0134"/>
      <w:bookmarkStart w:id="285" w:name="_Toc241066150"/>
      <w:r w:rsidRPr="00AD3643">
        <w:rPr>
          <w:rFonts w:ascii="Times New Roman" w:hAnsi="Times New Roman" w:cs="Times New Roman"/>
          <w:sz w:val="24"/>
          <w:szCs w:val="24"/>
          <w:lang w:val="en-US"/>
        </w:rPr>
        <w:t>AMC1 145.A.200(a)(3) Management system</w:t>
      </w:r>
      <w:bookmarkEnd w:id="284"/>
      <w:bookmarkEnd w:id="285"/>
    </w:p>
    <w:p w14:paraId="2B7D3186"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MANAGEMENT KEY PROCESSES</w:t>
      </w:r>
    </w:p>
    <w:p w14:paraId="7CE1B67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Hazard identification processes</w:t>
      </w:r>
    </w:p>
    <w:p w14:paraId="7A2317A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A reporting scheme should be the formal means of collecting, recording, analysing, acting on, and generating feedback about hazards, events and the associated risks that may affect safety.</w:t>
      </w:r>
    </w:p>
    <w:p w14:paraId="2F4F42B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hazards identification should include in particular:</w:t>
      </w:r>
    </w:p>
    <w:p w14:paraId="0EBEAF9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hazards that may be linked to human factors issues that affect human performance; and</w:t>
      </w:r>
    </w:p>
    <w:p w14:paraId="4461D55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hazards that may stem from the organisational set-up or the existence of complex operational and maintenance arrangements (such as when multiple organisations are contracted, or when multiple levels of contracting/subcontracting are included).</w:t>
      </w:r>
    </w:p>
    <w:p w14:paraId="7841727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Risk management processes</w:t>
      </w:r>
    </w:p>
    <w:p w14:paraId="01D2457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A formal safety risk management process should be developed and maintained that ensures reactive, proactive and predictive approach composed by:</w:t>
      </w:r>
    </w:p>
    <w:p w14:paraId="7ABF72B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analysis (e.g. in terms of the probability and severity of the consequences of hazards and occurrences);</w:t>
      </w:r>
    </w:p>
    <w:p w14:paraId="1DA1C9A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assessment (in terms of tolerability);</w:t>
      </w:r>
    </w:p>
    <w:p w14:paraId="62C2DCE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control (in terms of mitigation) of risks to an acceptable level. Note: The severity of the consequence should be evaluated to the best knowledge and engineering judgement of the organisation, and this evaluation may require collecting information from the competent authority, incident/accident investigation reports, the design approval holder, the declarant of a declaration of design compliance, etc.</w:t>
      </w:r>
    </w:p>
    <w:p w14:paraId="68A212D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levels of management who have the authority to make decisions regarding the tolerability of safety risks, in accordance with (b)(1)(ii), should be specified.</w:t>
      </w:r>
    </w:p>
    <w:p w14:paraId="2CBA8CE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Internal investigation</w:t>
      </w:r>
    </w:p>
    <w:p w14:paraId="0BBCC4A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In line with its just culture policy, the organisation should define how to investigate incidents such as errors or near misses, in order to understand not only what happened, but also how it happened, to prevent or reduce the probability and/or consequence of future recurrences (refer to AMC1 145.A.202). This approach should avoid concentrating the analysis on who was (were) directly or indirectly concerned by the events.</w:t>
      </w:r>
    </w:p>
    <w:p w14:paraId="63D1E84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(2)   The scope of internal investigations should extend beyond the scope of the occurrences required to be reported to the competent authority in accordance with point 145.A.60, to include the reports referred to in 145.A.202(b).</w:t>
      </w:r>
    </w:p>
    <w:p w14:paraId="06C7E36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Safety performance monitoring and measurement</w:t>
      </w:r>
    </w:p>
    <w:p w14:paraId="3D6C8FF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Safety performance monitoring and measurement should be the processes by which the safety performance of the organisation is verified in comparison with the safety policy and the safety objectives.</w:t>
      </w:r>
    </w:p>
    <w:p w14:paraId="08DB8F2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These processes may include, as appropriate to the size, nature and complexity of the organisation:</w:t>
      </w:r>
    </w:p>
    <w:p w14:paraId="6A0FD39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safety reporting, which may also address the status of compliance with the applicable requirements;</w:t>
      </w:r>
    </w:p>
    <w:p w14:paraId="7C35FEF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safety reviews, including trend reviews, which would be conducted during the introduction     of     new     products    and    their   components,   new equipment/technologies, the implementation of new or changed procedures, or in situations of organisational changes that may have an impact on safety;</w:t>
      </w:r>
    </w:p>
    <w:p w14:paraId="3E82DD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safety audits that focus on the integrity of the organisation’s management system, and on periodically assessing the status of safety risk controls;</w:t>
      </w:r>
    </w:p>
    <w:p w14:paraId="3D75E2D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(iv)    safety surveys, examining particular elements or procedures in a specific area, such as identified problem areas, or bottlenecks in daily maintenance activities, perceptions and opinions of maintenance management personnel, and areas of dissent or confusion; and</w:t>
      </w:r>
    </w:p>
    <w:p w14:paraId="6E8BFAB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     other indicators relevant to safety performance, which may be generated by automated means.</w:t>
      </w:r>
    </w:p>
    <w:p w14:paraId="0B1E298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Management of change Changes may introduce new hazards or threaten existing safety risk controls. The management of change should be a documented process established by the organisation to identify external and internal changes that may have an adverse effect on the safety of its maintenance activities. It should make use of the organisation’s existing hazard identification, risk assessment and mitigation processes.</w:t>
      </w:r>
    </w:p>
    <w:p w14:paraId="1F2CF5C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Continuous improvement The organisation should continuously seek to improve its safety performance and the effectiveness of its management system. Continuous improvement may be achieved through:</w:t>
      </w:r>
    </w:p>
    <w:p w14:paraId="1ADE31F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audits carried out by external organisations;</w:t>
      </w:r>
    </w:p>
    <w:p w14:paraId="59303DB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assessments, including assessments of the effectiveness of the safety culture and management system, in particular to assess the effectiveness of the safety risk management processes;</w:t>
      </w:r>
    </w:p>
    <w:p w14:paraId="2ABCF6B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staff surveys, including cultural surveys, that can provide useful feedback on how engaged personnel are with the management system;</w:t>
      </w:r>
    </w:p>
    <w:p w14:paraId="2E51A4C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monitoring the recurrence of incidents and occurrences;</w:t>
      </w:r>
    </w:p>
    <w:p w14:paraId="0D2AEEB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evaluation of safety performance indicators and reviews of all the available safety performance information; and</w:t>
      </w:r>
    </w:p>
    <w:p w14:paraId="4313969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the identification of lessons learned.</w:t>
      </w:r>
    </w:p>
    <w:p w14:paraId="6185626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Immediate safety action and coordination with the operator’s Emergency Response Plan (ERP)</w:t>
      </w:r>
    </w:p>
    <w:p w14:paraId="551D7FD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Procedures should be implemented that enable the organisation to act promptly when it identifies safety concerns with the potential to have an immediate effect on flight safety, including clear instructions on who to contact at the owner/operator/CAMO, and how to contact them, including outside of normal business hours. These provisions are without prejudice to the occurrence reporting required by point 145.A.60.</w:t>
      </w:r>
    </w:p>
    <w:p w14:paraId="67BEDE5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(2)   If applicable, procedures should be implemented to enable the organisation to react promptly if the ERP is triggered by the operator and it requires the support of the Part-145 organisation.</w:t>
      </w:r>
    </w:p>
    <w:p w14:paraId="65B603AB" w14:textId="1E6985AC" w:rsidR="00E52167" w:rsidRPr="00AD3643" w:rsidRDefault="00E52167" w:rsidP="00C95D06">
      <w:pPr>
        <w:pStyle w:val="Heading2"/>
        <w:spacing w:after="0"/>
        <w:jc w:val="both"/>
        <w:rPr>
          <w:rFonts w:ascii="Times New Roman" w:hAnsi="Times New Roman" w:cs="Times New Roman"/>
          <w:sz w:val="24"/>
          <w:szCs w:val="24"/>
          <w:lang w:val="en-US"/>
        </w:rPr>
      </w:pPr>
      <w:bookmarkStart w:id="286" w:name="toc_sec_0135"/>
      <w:bookmarkStart w:id="287" w:name="_Toc241066151"/>
      <w:r w:rsidRPr="00AD3643">
        <w:rPr>
          <w:rFonts w:ascii="Times New Roman" w:hAnsi="Times New Roman" w:cs="Times New Roman"/>
          <w:sz w:val="24"/>
          <w:szCs w:val="24"/>
          <w:lang w:val="en-US"/>
        </w:rPr>
        <w:t>GM1 145.A.200(a)(3) Management system</w:t>
      </w:r>
      <w:bookmarkEnd w:id="286"/>
      <w:bookmarkEnd w:id="287"/>
    </w:p>
    <w:p w14:paraId="12B7AEC9"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RISK MANAGEMENT — INTERFACES BETWEEN ORGANISATIONS</w:t>
      </w:r>
    </w:p>
    <w:p w14:paraId="2BB90B9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Safety risk management processes should specifically address the planned implementation of, or participation of the organisation in, complex operational and maintenance arrangements (such as when multiple organisations are contracted, or when multiple levels of contracting/subcontracting are included).</w:t>
      </w:r>
    </w:p>
    <w:p w14:paraId="74FD9C8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Hazard identification and risk assessment start with the identification of all the parties involved in the arrangement, including independent experts and non-approved organisations. This identification process extends to cover the overall control structure, and assesses in particular the following elements across all subcontract levels and all parties within such arrangements:</w:t>
      </w:r>
    </w:p>
    <w:p w14:paraId="4069F11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coordination and interfaces between the different parties;</w:t>
      </w:r>
    </w:p>
    <w:p w14:paraId="3B53768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applicable procedures;</w:t>
      </w:r>
    </w:p>
    <w:p w14:paraId="0BF7954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communication between all the parties involved, including reporting and feedback channels;</w:t>
      </w:r>
    </w:p>
    <w:p w14:paraId="3425A18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task allocation, responsibilities and authorities; and</w:t>
      </w:r>
    </w:p>
    <w:p w14:paraId="22B2736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qualifications and competency of key personnel with reference to point 145.A.30.</w:t>
      </w:r>
    </w:p>
    <w:p w14:paraId="3301716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Safety risk management should focus on ensuring the following aspects:</w:t>
      </w:r>
    </w:p>
    <w:p w14:paraId="596897D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clear assignment of accountability and allocation of responsibilities;</w:t>
      </w:r>
    </w:p>
    <w:p w14:paraId="1C95227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that only one party is responsible for a specific aspect of the arrangement, with no overlapping or conflicting responsibilities, in order to eliminate coordination errors;</w:t>
      </w:r>
    </w:p>
    <w:p w14:paraId="2058EF0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existence of clear reporting lines, both for occurrence reporting and progress reporting;</w:t>
      </w:r>
    </w:p>
    <w:p w14:paraId="0ED69C5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possibility for staff to directly notify the organisation of any hazard that suggests an obviously unacceptable safety risk as a result of the potential consequences of this hazard.</w:t>
      </w:r>
    </w:p>
    <w:p w14:paraId="5A3768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safety risk management processes should ensure that there is regular communication between all the parties involved to discuss work progress, risk mitigation actions, and changes to the arrangements, as well as any other significant issues.</w:t>
      </w:r>
    </w:p>
    <w:p w14:paraId="454FDBD7" w14:textId="09B806CE" w:rsidR="00E52167" w:rsidRPr="00AD3643" w:rsidRDefault="00E52167" w:rsidP="00C95D06">
      <w:pPr>
        <w:pStyle w:val="Heading2"/>
        <w:spacing w:after="0"/>
        <w:jc w:val="both"/>
        <w:rPr>
          <w:rFonts w:ascii="Times New Roman" w:hAnsi="Times New Roman" w:cs="Times New Roman"/>
          <w:sz w:val="24"/>
          <w:szCs w:val="24"/>
          <w:lang w:val="en-US"/>
        </w:rPr>
      </w:pPr>
      <w:bookmarkStart w:id="288" w:name="toc_sec_0136"/>
      <w:bookmarkStart w:id="289" w:name="_Toc241066152"/>
      <w:r w:rsidRPr="00AD3643">
        <w:rPr>
          <w:rFonts w:ascii="Times New Roman" w:hAnsi="Times New Roman" w:cs="Times New Roman"/>
          <w:sz w:val="24"/>
          <w:szCs w:val="24"/>
          <w:lang w:val="en-US"/>
        </w:rPr>
        <w:t>GM2 145.A.200(a)(3) Management system</w:t>
      </w:r>
      <w:bookmarkEnd w:id="288"/>
      <w:bookmarkEnd w:id="289"/>
    </w:p>
    <w:p w14:paraId="23B1AA8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MANAGEMENT OF CHANGE</w:t>
      </w:r>
    </w:p>
    <w:p w14:paraId="71E8250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Unless they are properly managed, changes in organisational structure, facilities, the scope of work, personnel, documentation, policies and procedures, etc. can result in the inadvertent introduction of new hazards, and expose the organisation to new or increased risks. Effective organisations seek to improve their processes, with conscious recognition that changes can expose the organisation to potentially latent hazards and risks if they are not properly and effectively managed.</w:t>
      </w:r>
    </w:p>
    <w:p w14:paraId="71E186E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Regardless of the magnitude of a change, large or small, its safety implications should always be proactively considered. This is primarily the responsibility of the team that proposes and/or implements the change. However, a change can only be successfully implemented if all the personnel affected by the change are engaged, are involved and participate in the process. The magnitude of a change, its safety criticality, and its potential impact on human performance should be assessed in any change management process.</w:t>
      </w:r>
    </w:p>
    <w:p w14:paraId="74008A5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(c)   The process for the management of change typically provides principles and a structured framework for managing all aspects of the change. Disciplined application of the management of change can maximise the effectiveness of the change, engage the staff, and minimise the risks that are inherent in a change.</w:t>
      </w:r>
    </w:p>
    <w:p w14:paraId="53C8A1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introduction of a change is the trigger for the organisation to perform their hazard identification and risk management processes. Some examples of change include, but are not limited to:</w:t>
      </w:r>
    </w:p>
    <w:p w14:paraId="52E66AE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changes to the organisational structure;</w:t>
      </w:r>
    </w:p>
    <w:p w14:paraId="6CA00D9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inclusion of a new aircraft type in the terms of approval;</w:t>
      </w:r>
    </w:p>
    <w:p w14:paraId="533716E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addition of aircraft of the same or a similar type;</w:t>
      </w:r>
    </w:p>
    <w:p w14:paraId="03757D4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significant changes in personnel (affecting key personnel and/or large numbers of personnel, high turnover);</w:t>
      </w:r>
    </w:p>
    <w:p w14:paraId="4D5491F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new or amended regulations;</w:t>
      </w:r>
    </w:p>
    <w:p w14:paraId="40719EC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changes to the security arrangements;</w:t>
      </w:r>
    </w:p>
    <w:p w14:paraId="61E4380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changes in the economic situation of an organisation (e.g. commercial or financial pressure);</w:t>
      </w:r>
    </w:p>
    <w:p w14:paraId="0B45CC7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new schedule(s), location(s), equipment, and/or operational procedures; and</w:t>
      </w:r>
    </w:p>
    <w:p w14:paraId="0FC2CBD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(9)   the addition of new subcontractors.</w:t>
      </w:r>
    </w:p>
    <w:p w14:paraId="3F13280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 change may have the potential to introduce new, or to exacerbate pre-existing, human factors</w:t>
      </w:r>
    </w:p>
    <w:p w14:paraId="5CF2CF4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issues. For example, changes in computer systems, equipment, technology, personnel changes, including changes in management personnel, procedures, work organisation, or work processes are likely to affect performance.</w:t>
      </w:r>
    </w:p>
    <w:p w14:paraId="6A07E9D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The purpose of integrating human factors (HF) into the management of change is to minimise potential risks by specifically considering the impact of the change on the people within a system.</w:t>
      </w:r>
    </w:p>
    <w:p w14:paraId="4CA26BF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Special consideration, including any HF issues, should be given to the ‘transition period’. In addition, the activities utilised to manage these issues should be integrated into the change management plan.</w:t>
      </w:r>
    </w:p>
    <w:p w14:paraId="0E13D50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Effective management of change should be supported by the following:</w:t>
      </w:r>
    </w:p>
    <w:p w14:paraId="29E0CE5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implementation of a process for formal hazard identification/risk assessment for major operational changes, major organisational changes, changes in key personnel, and changes that may affect the way maintenance is carried out;</w:t>
      </w:r>
    </w:p>
    <w:p w14:paraId="3058435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identification of changes that are likely to occur in business which would have a noticeable impact on:</w:t>
      </w:r>
    </w:p>
    <w:p w14:paraId="451CE7E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resources — material and human;</w:t>
      </w:r>
    </w:p>
    <w:p w14:paraId="00F96DB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management direction — policies, processes, procedures, training; and</w:t>
      </w:r>
    </w:p>
    <w:p w14:paraId="7BF22B4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management control;</w:t>
      </w:r>
    </w:p>
    <w:p w14:paraId="1472B53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safety cases/risk assessments that are focused on aviation safety;</w:t>
      </w:r>
    </w:p>
    <w:p w14:paraId="0F9F829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involvement of key stakeholders in the change management process, as appropriate.</w:t>
      </w:r>
    </w:p>
    <w:p w14:paraId="75625CE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During the management of change process, previous risk assessments and existing hazards are reviewed for possible effect.</w:t>
      </w:r>
    </w:p>
    <w:p w14:paraId="7C3F733E" w14:textId="459849A5" w:rsidR="00E52167" w:rsidRPr="00AD3643" w:rsidRDefault="00E52167" w:rsidP="00C95D06">
      <w:pPr>
        <w:pStyle w:val="Heading2"/>
        <w:spacing w:after="0"/>
        <w:jc w:val="both"/>
        <w:rPr>
          <w:rFonts w:ascii="Times New Roman" w:hAnsi="Times New Roman" w:cs="Times New Roman"/>
          <w:sz w:val="24"/>
          <w:szCs w:val="24"/>
          <w:lang w:val="en-US"/>
        </w:rPr>
      </w:pPr>
      <w:bookmarkStart w:id="290" w:name="toc_sec_0137"/>
      <w:bookmarkStart w:id="291" w:name="_Toc241066153"/>
      <w:r w:rsidRPr="00AD3643">
        <w:rPr>
          <w:rFonts w:ascii="Times New Roman" w:hAnsi="Times New Roman" w:cs="Times New Roman"/>
          <w:sz w:val="24"/>
          <w:szCs w:val="24"/>
          <w:lang w:val="en-US"/>
        </w:rPr>
        <w:t>AMC1 145.A.200(a)(4) Management system</w:t>
      </w:r>
      <w:bookmarkEnd w:id="290"/>
      <w:bookmarkEnd w:id="291"/>
    </w:p>
    <w:p w14:paraId="29350A29"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COMMUNICATION ON SAFETY</w:t>
      </w:r>
    </w:p>
    <w:p w14:paraId="72D38B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organisation should establish communication regarding safety matters that:</w:t>
      </w:r>
    </w:p>
    <w:p w14:paraId="3899C2B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(1)   ensures that all personnel are aware of the safety management activities, as appropriate for their safety responsibilities;</w:t>
      </w:r>
    </w:p>
    <w:p w14:paraId="7DCF13A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conveys safety-critical information, especially related to assessed risks and analysed hazards;</w:t>
      </w:r>
    </w:p>
    <w:p w14:paraId="0C33056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explains why particular actions are taken; and</w:t>
      </w:r>
    </w:p>
    <w:p w14:paraId="1C64135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explains why safety procedures are introduced or changed.</w:t>
      </w:r>
    </w:p>
    <w:p w14:paraId="4645F9C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Regular meetings with personnel, at which information, actions, and procedures are discussed, may be used to communicate safety matters.</w:t>
      </w:r>
    </w:p>
    <w:p w14:paraId="5FE7B0E2" w14:textId="1493E7D9" w:rsidR="00E52167" w:rsidRPr="00AD3643" w:rsidRDefault="00E52167" w:rsidP="00C95D06">
      <w:pPr>
        <w:pStyle w:val="Heading2"/>
        <w:spacing w:after="0"/>
        <w:jc w:val="both"/>
        <w:rPr>
          <w:rFonts w:ascii="Times New Roman" w:hAnsi="Times New Roman" w:cs="Times New Roman"/>
          <w:sz w:val="24"/>
          <w:szCs w:val="24"/>
          <w:lang w:val="en-US"/>
        </w:rPr>
      </w:pPr>
      <w:bookmarkStart w:id="292" w:name="toc_sec_0138"/>
      <w:bookmarkStart w:id="293" w:name="_Toc241066154"/>
      <w:r w:rsidRPr="00AD3643">
        <w:rPr>
          <w:rFonts w:ascii="Times New Roman" w:hAnsi="Times New Roman" w:cs="Times New Roman"/>
          <w:sz w:val="24"/>
          <w:szCs w:val="24"/>
          <w:lang w:val="en-US"/>
        </w:rPr>
        <w:t>GM1 145.A.200(a)(4) Management system</w:t>
      </w:r>
      <w:bookmarkEnd w:id="292"/>
      <w:bookmarkEnd w:id="293"/>
    </w:p>
    <w:p w14:paraId="5679BB1F"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PROMOTION</w:t>
      </w:r>
    </w:p>
    <w:p w14:paraId="170C791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Safety training, combined with safety communication and information sharing, forms part of safety promotion.</w:t>
      </w:r>
    </w:p>
    <w:p w14:paraId="548F3A1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Safety promotion activities should support:</w:t>
      </w:r>
    </w:p>
    <w:p w14:paraId="15B4FF3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organisation’s policies, encouraging a positive safety culture, creating an environment that is favourable to the achievement of the organisation’s safety objectives;</w:t>
      </w:r>
    </w:p>
    <w:p w14:paraId="5BAFBFE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organisational learning; and</w:t>
      </w:r>
    </w:p>
    <w:p w14:paraId="0062532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implementation of an effective safety reporting scheme and the development of a just culture.</w:t>
      </w:r>
    </w:p>
    <w:p w14:paraId="571D665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Depending on the particular safety issue, safety promotion may also constitute or complement risk mitigation actions.</w:t>
      </w:r>
    </w:p>
    <w:p w14:paraId="1DEB3F7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Qualifications and training aspects are further specified in the AMC and the GM to point 145.A.30.</w:t>
      </w:r>
    </w:p>
    <w:p w14:paraId="564BCE3A" w14:textId="22E8C956" w:rsidR="00E52167" w:rsidRPr="00AD3643" w:rsidRDefault="00E52167" w:rsidP="00C95D06">
      <w:pPr>
        <w:pStyle w:val="Heading2"/>
        <w:spacing w:after="0"/>
        <w:jc w:val="both"/>
        <w:rPr>
          <w:rFonts w:ascii="Times New Roman" w:hAnsi="Times New Roman" w:cs="Times New Roman"/>
          <w:sz w:val="24"/>
          <w:szCs w:val="24"/>
          <w:lang w:val="en-US"/>
        </w:rPr>
      </w:pPr>
      <w:bookmarkStart w:id="294" w:name="toc_sec_0139"/>
      <w:bookmarkStart w:id="295" w:name="_Toc241066155"/>
      <w:r w:rsidRPr="00AD3643">
        <w:rPr>
          <w:rFonts w:ascii="Times New Roman" w:hAnsi="Times New Roman" w:cs="Times New Roman"/>
          <w:sz w:val="24"/>
          <w:szCs w:val="24"/>
          <w:lang w:val="en-US"/>
        </w:rPr>
        <w:t>GM1 145.A.200(a)(5) Management system</w:t>
      </w:r>
      <w:bookmarkEnd w:id="294"/>
      <w:bookmarkEnd w:id="295"/>
    </w:p>
    <w:p w14:paraId="35335C4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MANAGEMENT SYSTEM DOCUMENTATION</w:t>
      </w:r>
    </w:p>
    <w:p w14:paraId="2F810398" w14:textId="55D43D85"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organisation may document its safety policy, safety objectives and all its key management system processes in a separate manual (e.g. a Safety Management Manual or Management System Manual), or in its MOE (see AMC1 145.A.70(a), Part 3 ‘Management system procedures’). Organisations that hold multiple organisation certificates within the scope of</w:t>
      </w:r>
      <w:r w:rsidR="00753C17">
        <w:rPr>
          <w:rFonts w:ascii="Times New Roman" w:hAnsi="Times New Roman" w:cs="Times New Roman"/>
          <w:sz w:val="24"/>
          <w:szCs w:val="24"/>
          <w:lang w:val="en-US"/>
        </w:rPr>
        <w:t xml:space="preserve"> </w:t>
      </w:r>
      <w:r w:rsidR="00DF2A71" w:rsidRPr="00DF2A71">
        <w:rPr>
          <w:rFonts w:ascii="Times New Roman" w:hAnsi="Times New Roman" w:cs="Times New Roman"/>
          <w:sz w:val="24"/>
          <w:szCs w:val="24"/>
          <w:lang w:val="en-US"/>
        </w:rPr>
        <w:t>Aviation Code</w:t>
      </w:r>
      <w:r w:rsidRPr="00DF2A71">
        <w:rPr>
          <w:rFonts w:ascii="Times New Roman" w:hAnsi="Times New Roman" w:cs="Times New Roman"/>
          <w:sz w:val="24"/>
          <w:szCs w:val="24"/>
          <w:lang w:val="en-US"/>
        </w:rPr>
        <w:t xml:space="preserve"> may prefer to use a separate manual in order to avoid duplication. That manual or the MOE, depending on the case, should be the key instrument for communicating the approach to the management system for the whole of the organisation.</w:t>
      </w:r>
    </w:p>
    <w:p w14:paraId="0373BB9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organisation may also choose to document some of the information that is required to be documented in separate documents (e.g. policy documents, procedures). In that case, it should ensure that the manual or the MOE contains adequate references to any document that is kept</w:t>
      </w:r>
    </w:p>
    <w:p w14:paraId="09F0030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separately. Any such documents are to be considered to be integral parts of the organisation’s management system documentation.</w:t>
      </w:r>
    </w:p>
    <w:p w14:paraId="529B456C" w14:textId="3A00E271" w:rsidR="00E52167" w:rsidRPr="00AD3643" w:rsidRDefault="00E52167" w:rsidP="00C95D06">
      <w:pPr>
        <w:pStyle w:val="Heading2"/>
        <w:spacing w:after="0"/>
        <w:jc w:val="both"/>
        <w:rPr>
          <w:rFonts w:ascii="Times New Roman" w:hAnsi="Times New Roman" w:cs="Times New Roman"/>
          <w:sz w:val="24"/>
          <w:szCs w:val="24"/>
          <w:lang w:val="en-US"/>
        </w:rPr>
      </w:pPr>
      <w:bookmarkStart w:id="296" w:name="toc_sec_0140"/>
      <w:bookmarkStart w:id="297" w:name="_Toc241066156"/>
      <w:r w:rsidRPr="00AD3643">
        <w:rPr>
          <w:rFonts w:ascii="Times New Roman" w:hAnsi="Times New Roman" w:cs="Times New Roman"/>
          <w:sz w:val="24"/>
          <w:szCs w:val="24"/>
          <w:lang w:val="en-US"/>
        </w:rPr>
        <w:lastRenderedPageBreak/>
        <w:t>AMC1 145.A.200(a)(6) Management system</w:t>
      </w:r>
      <w:bookmarkEnd w:id="296"/>
      <w:bookmarkEnd w:id="297"/>
    </w:p>
    <w:p w14:paraId="29C3264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COMPLIANCE MONITORING — GENERAL</w:t>
      </w:r>
    </w:p>
    <w:p w14:paraId="3EA0A77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primary objectives of compliance monitoring are to provide an independent monitoring function on how the organisation ensures compliance with the applicable requirements, policies and procedures, and to request action where non-compliances are identified.</w:t>
      </w:r>
    </w:p>
    <w:p w14:paraId="344678F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independence of the compliance monitoring should be established by always ensuring that audits and inspections are carried out by personnel who are not responsible for the functions, procedures or products that are audited or inspected.</w:t>
      </w:r>
    </w:p>
    <w:p w14:paraId="04635E5C" w14:textId="06F9B2B9" w:rsidR="00E52167" w:rsidRPr="00AD3643" w:rsidRDefault="00E52167" w:rsidP="00C95D06">
      <w:pPr>
        <w:pStyle w:val="Heading2"/>
        <w:spacing w:after="0"/>
        <w:jc w:val="both"/>
        <w:rPr>
          <w:rFonts w:ascii="Times New Roman" w:hAnsi="Times New Roman" w:cs="Times New Roman"/>
          <w:sz w:val="24"/>
          <w:szCs w:val="24"/>
          <w:lang w:val="en-US"/>
        </w:rPr>
      </w:pPr>
      <w:bookmarkStart w:id="298" w:name="toc_sec_0141"/>
      <w:bookmarkStart w:id="299" w:name="_Toc241066157"/>
      <w:r w:rsidRPr="00AD3643">
        <w:rPr>
          <w:rFonts w:ascii="Times New Roman" w:hAnsi="Times New Roman" w:cs="Times New Roman"/>
          <w:sz w:val="24"/>
          <w:szCs w:val="24"/>
          <w:lang w:val="en-US"/>
        </w:rPr>
        <w:t>AMC2 145.A.200(a)(6) Management system</w:t>
      </w:r>
      <w:bookmarkEnd w:id="298"/>
      <w:bookmarkEnd w:id="299"/>
    </w:p>
    <w:p w14:paraId="7327A65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COMPLIANCE MONITORING — INDEPENDENT AUDIT</w:t>
      </w:r>
    </w:p>
    <w:p w14:paraId="53255D4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An essential element of the compliance monitoring function is the independent audit.</w:t>
      </w:r>
    </w:p>
    <w:p w14:paraId="5B78486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independent audit should be an objective process of routine sample checks of all aspects of the organisation’s ability to carry out all maintenance to the standards required by this</w:t>
      </w:r>
    </w:p>
    <w:p w14:paraId="307F836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Regulation. It should include checking compliance of the organisation procedures with the Regulation, adherence of the organisation to these procedures, and product or maintenance sampling (i.e. product audit), as this is the end result of the maintenance process.</w:t>
      </w:r>
    </w:p>
    <w:p w14:paraId="26E189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independent audit should provide an objective overview of the complete set of maintenance-related activities. It should include a percentage of unannounced audits carried out on a sample basis while maintenance is being carried out. This means that some audits should be carried out during the night for those organisations that work at night.</w:t>
      </w:r>
    </w:p>
    <w:p w14:paraId="3562B1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organisation should establish an audit plan to show when and how often the activities as required by this Regulation will be audited.</w:t>
      </w:r>
    </w:p>
    <w:p w14:paraId="264557D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Except as specified in points (h) and (j), the audit plan should ensure that all aspects of Part-145 compliance are verified every year, including all the subcontracted activities. The auditing may be carried out as a complete single exercise or subdivided over the annual period. The independent audit should not require each procedure to be verified against each product line when it can be shown that the particular procedure is common to more than one product line and the procedure has been verified every year without resultant findings. Where findings have been identified, compliance with the particular procedure should be verified against other product lines until the findings have been closed, after which the independent audit procedure may revert back to a yearly interval for the particular procedure.</w:t>
      </w:r>
    </w:p>
    <w:p w14:paraId="4D4696B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Except as specified otherwise in point (h), the independent audit should sample check one product (such as one aircraft or engine or component) while undergoing maintenance on each product line every year as a demonstration of compliance with the maintenance procedures and requirements associated with that specific product. This should include in particular the verification of:</w:t>
      </w:r>
    </w:p>
    <w:p w14:paraId="281191C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maintenance data and compliance with the organisation procedures, including consideration of human factors issues;</w:t>
      </w:r>
    </w:p>
    <w:p w14:paraId="45122CD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facility and maintenance environment;</w:t>
      </w:r>
    </w:p>
    <w:p w14:paraId="654F6B7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standard of inspection and precautions;</w:t>
      </w:r>
    </w:p>
    <w:p w14:paraId="32DA2D3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completion of work cards/worksheet;</w:t>
      </w:r>
    </w:p>
    <w:p w14:paraId="7704616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tools and material;</w:t>
      </w:r>
    </w:p>
    <w:p w14:paraId="7E1A8E6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     the authorisation of the person carrying out maintenance. For the purpose of this AMC, a product line includes any product under an Appendix II approval class rating as specified in the terms of approval issued to the particular organisation. It therefore follows, for example, that a Part-145 maintenance organisation approved to maintain aircraft, engines, brakes and autopilots would need to carry out at least four complete product audits each year, except as specified otherwise in points (f), (h) or (j).</w:t>
      </w:r>
    </w:p>
    <w:p w14:paraId="5BD4FBC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The product audit includes witnessing any relevant testing and visually inspecting the product and the associated documentation. The product audit should not involve repeated disassembly or testing unless the product audit identifies findings that require such an action.</w:t>
      </w:r>
    </w:p>
    <w:p w14:paraId="14CBC15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Except as specified otherwise in point (j), where the organisation contracts the independent audit element of the compliance monitoring function in accordance with point (l), the audit should be carried out twice every year.</w:t>
      </w:r>
    </w:p>
    <w:p w14:paraId="67C5A5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Except as specified otherwise in point (j), where the organisation has line stations listed as per point 145.A.75(d), the compliance monitoring documentation should include a description of how these line stations are integrated into the monitoring and include a plan to audit each listed line station at a frequency consistent with the extent of flight activity at the particular line</w:t>
      </w:r>
    </w:p>
    <w:p w14:paraId="246B6A2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station and the related safety hazards identified. Except as specified otherwise in point (j), the maximum period between audits of a particular line station should not exceed 2 years.</w:t>
      </w:r>
    </w:p>
    <w:p w14:paraId="47D54D8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(j)   Except as specified otherwise in point (f), provided that there are no safety-related findings, the audit planning cycle specified in this AMC may be increased by up to 100 %, subject to a risk assessment and/or mitigation actions, and agreement by the competent authority.</w:t>
      </w:r>
    </w:p>
    <w:p w14:paraId="5D0B7C8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(k)   A report should be issued each time an audit is carried out describing what was checked and the resulting non-compliance findings against applicable requirement and procedures.</w:t>
      </w:r>
    </w:p>
    <w:p w14:paraId="1CB4E3A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   Organisations with a maximum of 10 maintenance staff actively engaged in carrying out maintenance may subcontract the whole independent audit element of the compliance monitoring function to another organisation or contract a qualified and competent person to become responsible for this element, with the agreement of the competent authority. This does not prevent a larger organisation from occasionally using external support for conducting particular audits.</w:t>
      </w:r>
    </w:p>
    <w:p w14:paraId="1D3847A6" w14:textId="6B21D450" w:rsidR="00E52167" w:rsidRPr="00AD3643" w:rsidRDefault="00E52167" w:rsidP="00C95D06">
      <w:pPr>
        <w:pStyle w:val="Heading2"/>
        <w:spacing w:after="0"/>
        <w:jc w:val="both"/>
        <w:rPr>
          <w:rFonts w:ascii="Times New Roman" w:hAnsi="Times New Roman" w:cs="Times New Roman"/>
          <w:sz w:val="24"/>
          <w:szCs w:val="24"/>
          <w:lang w:val="en-US"/>
        </w:rPr>
      </w:pPr>
      <w:bookmarkStart w:id="300" w:name="toc_sec_0142"/>
      <w:bookmarkStart w:id="301" w:name="_Toc241066158"/>
      <w:r w:rsidRPr="00AD3643">
        <w:rPr>
          <w:rFonts w:ascii="Times New Roman" w:hAnsi="Times New Roman" w:cs="Times New Roman"/>
          <w:sz w:val="24"/>
          <w:szCs w:val="24"/>
          <w:lang w:val="en-US"/>
        </w:rPr>
        <w:t>AMC3 145.A.200(a)(6) Management system</w:t>
      </w:r>
      <w:bookmarkEnd w:id="300"/>
      <w:bookmarkEnd w:id="301"/>
    </w:p>
    <w:p w14:paraId="13217A5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COMPLIANCE MONITORING — CONTRACTING OF THE INDEPENDENT AUDIT</w:t>
      </w:r>
    </w:p>
    <w:p w14:paraId="065FC0B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If external personnel are used to perform independent audits:</w:t>
      </w:r>
    </w:p>
    <w:p w14:paraId="2271D7A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any such audits should be performed under the responsibility of the compliance monitoring manager; and</w:t>
      </w:r>
    </w:p>
    <w:p w14:paraId="046BA02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organisation remains responsible for ensuring that the external personnel have the relevant knowledge, background, and experience that are appropriate to the activities being audited, including knowledge and experience in compliance monitoring.</w:t>
      </w:r>
    </w:p>
    <w:p w14:paraId="2FEABFC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organisation retains the ultimate responsibility for the effectiveness of the compliance monitoring function, in particular for the effective implementation and follow-up of all corrective actions.</w:t>
      </w:r>
    </w:p>
    <w:p w14:paraId="32D4029E" w14:textId="31DB3A42" w:rsidR="00E52167" w:rsidRPr="00AD3643" w:rsidRDefault="00E52167" w:rsidP="00C95D06">
      <w:pPr>
        <w:pStyle w:val="Heading2"/>
        <w:spacing w:after="0"/>
        <w:jc w:val="both"/>
        <w:rPr>
          <w:rFonts w:ascii="Times New Roman" w:hAnsi="Times New Roman" w:cs="Times New Roman"/>
          <w:sz w:val="24"/>
          <w:szCs w:val="24"/>
          <w:lang w:val="en-US"/>
        </w:rPr>
      </w:pPr>
      <w:bookmarkStart w:id="302" w:name="toc_sec_0143"/>
      <w:bookmarkStart w:id="303" w:name="_Toc241066159"/>
      <w:r w:rsidRPr="00AD3643">
        <w:rPr>
          <w:rFonts w:ascii="Times New Roman" w:hAnsi="Times New Roman" w:cs="Times New Roman"/>
          <w:sz w:val="24"/>
          <w:szCs w:val="24"/>
          <w:lang w:val="en-US"/>
        </w:rPr>
        <w:lastRenderedPageBreak/>
        <w:t>AMC4 145.A.200(a)(6) Management system</w:t>
      </w:r>
      <w:bookmarkEnd w:id="302"/>
      <w:bookmarkEnd w:id="303"/>
    </w:p>
    <w:p w14:paraId="0A753F8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COMPLIANCE MONITORING — FEEDBACK SYSTEM</w:t>
      </w:r>
    </w:p>
    <w:p w14:paraId="4F1275C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Another essential element of the compliance monitoring function is the feedback system.</w:t>
      </w:r>
    </w:p>
    <w:p w14:paraId="123E4B4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feedback system should not be contracted to external persons or organisations.</w:t>
      </w:r>
    </w:p>
    <w:p w14:paraId="7ADAF52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When a non-compliance is found, the compliance monitoring function should ensure that the root cause(s) and contributing factor(s) are identified (see GM1 145.A.95), and that corrective actions are defined. The feedback part of the compliance monitoring function should define who is required to address any non-compliance in each particular case, and the procedure to be followed if the corrective action is not completed within the defined time frame. The principal functions of the feedback system are to ensure that all findings resulting from the independent audits of the organisation are properly investigated and corrected in a timely manner, and to enable the accountable manager to be kept informed of safety issues and the extent of compliance with Part-145.</w:t>
      </w:r>
    </w:p>
    <w:p w14:paraId="3CFAC30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independent audit reports referred to in AMC2 145.A.200(a)(6) should be sent to the relevant department(s) for corrective action, giving target closure dates. These target dates should be discussed with the relevant department(s) before the compliance monitoring function confirms the dates in the report. The relevant department(s) is (are) required to implement the corrective action and inform the compliance monitoring function of the status of the implementation of the action.</w:t>
      </w:r>
    </w:p>
    <w:p w14:paraId="7B1823A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Unless the review of the results from compliance monitoring is given to the safety review board</w:t>
      </w:r>
    </w:p>
    <w:p w14:paraId="681BB3A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(ref. AMC1 145.A.200(a)(1) point (b)(4)), the accountable manager should hold regular meetings with staff to check the progress of corrective actions. These meetings may be delegated to the compliance monitoring manager on a day-to-day basis, provided that the accountable manager:</w:t>
      </w:r>
    </w:p>
    <w:p w14:paraId="09C7D15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meets the senior staff involved at least twice per year to review the overall performance of the compliance monitoring function; and</w:t>
      </w:r>
    </w:p>
    <w:p w14:paraId="51B65E2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receives at least a half-yearly summary report on non-compliance findings.</w:t>
      </w:r>
    </w:p>
    <w:p w14:paraId="5C47DC4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All records pertaining to the independent audit and the feedback system should be retained for the period specified in point 145.A.55(c) or for such periods as to support changes to the audit planning cycle in accordance with AMC2 145.A.200(a)(6), whichever is the longer.</w:t>
      </w:r>
    </w:p>
    <w:p w14:paraId="41F4989C" w14:textId="0E9D467B" w:rsidR="00E52167" w:rsidRPr="00AD3643" w:rsidRDefault="00E52167" w:rsidP="00C95D06">
      <w:pPr>
        <w:pStyle w:val="Heading2"/>
        <w:spacing w:after="0"/>
        <w:jc w:val="both"/>
        <w:rPr>
          <w:rFonts w:ascii="Times New Roman" w:hAnsi="Times New Roman" w:cs="Times New Roman"/>
          <w:sz w:val="24"/>
          <w:szCs w:val="24"/>
          <w:lang w:val="en-US"/>
        </w:rPr>
      </w:pPr>
      <w:bookmarkStart w:id="304" w:name="toc_sec_0144"/>
      <w:bookmarkStart w:id="305" w:name="_Toc241066160"/>
      <w:r w:rsidRPr="00AD3643">
        <w:rPr>
          <w:rFonts w:ascii="Times New Roman" w:hAnsi="Times New Roman" w:cs="Times New Roman"/>
          <w:sz w:val="24"/>
          <w:szCs w:val="24"/>
          <w:lang w:val="en-US"/>
        </w:rPr>
        <w:t>GM1 145.A.200(a)(6) Management system</w:t>
      </w:r>
      <w:bookmarkEnd w:id="304"/>
      <w:bookmarkEnd w:id="305"/>
    </w:p>
    <w:p w14:paraId="5F8F640C"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COMPLIANCE MONITORING FUNCTION</w:t>
      </w:r>
    </w:p>
    <w:p w14:paraId="1AFE163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compliance monitoring function is one of the elements that is required to be in compliance with</w:t>
      </w:r>
    </w:p>
    <w:p w14:paraId="20A757D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applicable requirements. This means that the compliance monitoring function itself should be</w:t>
      </w:r>
    </w:p>
    <w:p w14:paraId="4EE1590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subject to independent monitoring of compliance in accordance with 145.A.200(a)(6).</w:t>
      </w:r>
    </w:p>
    <w:p w14:paraId="3032BB57" w14:textId="5708A8AB" w:rsidR="00E52167" w:rsidRPr="00AD3643" w:rsidRDefault="00E52167" w:rsidP="00C95D06">
      <w:pPr>
        <w:pStyle w:val="Heading2"/>
        <w:spacing w:after="0"/>
        <w:jc w:val="both"/>
        <w:rPr>
          <w:rFonts w:ascii="Times New Roman" w:hAnsi="Times New Roman" w:cs="Times New Roman"/>
          <w:sz w:val="24"/>
          <w:szCs w:val="24"/>
          <w:lang w:val="en-US"/>
        </w:rPr>
      </w:pPr>
      <w:bookmarkStart w:id="306" w:name="toc_sec_0145"/>
      <w:bookmarkStart w:id="307" w:name="_Toc241066161"/>
      <w:r w:rsidRPr="00AD3643">
        <w:rPr>
          <w:rFonts w:ascii="Times New Roman" w:hAnsi="Times New Roman" w:cs="Times New Roman"/>
          <w:sz w:val="24"/>
          <w:szCs w:val="24"/>
          <w:lang w:val="en-US"/>
        </w:rPr>
        <w:t>GM2 145.A.200(a)(6) Management system</w:t>
      </w:r>
      <w:bookmarkEnd w:id="306"/>
      <w:bookmarkEnd w:id="307"/>
    </w:p>
    <w:p w14:paraId="2549C93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COMPLIANCE MONITORING — AUDIT PLAN</w:t>
      </w:r>
    </w:p>
    <w:p w14:paraId="1AB9A0F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purpose of this GM is to provide guidance on one acceptable working audit plan to meet part of the needs of point 145.A.200(a)(6). There is any number of other acceptable working audit plans.</w:t>
      </w:r>
    </w:p>
    <w:p w14:paraId="5E6211D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audits described in the audit plan are intended to monitor compliance with the applicable requirements, and at the same time to review all areas of the organisation to which those requirements are applicable.</w:t>
      </w:r>
    </w:p>
    <w:p w14:paraId="7352DEE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(c)   In order to achieve this objective, as a first element, the organisation needs to identify all the regulatory requirements that are applicable to the activity and the scope of work under consideration, to allow the audit plan to focus on the relevant topics. Each topic (e.g. facilities, personnel, etc.) should be cross-referred with the relevant requirement and the related procedure of the organisation in the exposition that describes the particular topic. If the organisation follows a specific means of compliance to demonstrate compliance with the rule, that information may also be stated.</w:t>
      </w:r>
    </w:p>
    <w:p w14:paraId="4D3D81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As a second element, all the functional areas of the organisation in which Part-145 functions are intended to be carried out (i.e. the types of maintenance-related activities), including subcontracting, need to be listed in order to identify the applicability of any topic to each functional area.</w:t>
      </w:r>
    </w:p>
    <w:p w14:paraId="4B995B0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 matrix can be used, as shown in the example below, to capture the two elements mentioned</w:t>
      </w:r>
    </w:p>
    <w:p w14:paraId="5546E26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above. This matrix is intended to be a living document to be customised by each particular organisation depending on its scope of work and its structure. This matrix should represent the overall compliance of the audit system, and needs to be amended, as necessary, based upon any change to the applicable regulations, the procedures of the organisation or the functional areas of the organisation (e.g. a change in the scope of work to include line maintenance, etc.) Example (to be further completed) of an audit matrix for an organisation involved in aircraft base maintenance that does not hold airworthiness review privilege:</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40"/>
        <w:gridCol w:w="1555"/>
        <w:gridCol w:w="1224"/>
        <w:gridCol w:w="1123"/>
        <w:gridCol w:w="1440"/>
        <w:gridCol w:w="1224"/>
        <w:gridCol w:w="1224"/>
        <w:gridCol w:w="850"/>
      </w:tblGrid>
      <w:tr w:rsidR="00E52167" w:rsidRPr="00AD3643" w14:paraId="16CCFC29" w14:textId="77777777" w:rsidTr="00BF6234">
        <w:trPr>
          <w:cantSplit/>
          <w:tblHeader/>
        </w:trPr>
        <w:tc>
          <w:tcPr>
            <w:tcW w:w="1440" w:type="dxa"/>
            <w:vAlign w:val="center"/>
          </w:tcPr>
          <w:p w14:paraId="1B67893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Topic</w:t>
            </w:r>
          </w:p>
        </w:tc>
        <w:tc>
          <w:tcPr>
            <w:tcW w:w="1555" w:type="dxa"/>
            <w:vAlign w:val="center"/>
          </w:tcPr>
          <w:p w14:paraId="6E07E4F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Requirement</w:t>
            </w:r>
          </w:p>
        </w:tc>
        <w:tc>
          <w:tcPr>
            <w:tcW w:w="1224" w:type="dxa"/>
            <w:vAlign w:val="center"/>
          </w:tcPr>
          <w:p w14:paraId="3FE887D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Exposition</w:t>
            </w:r>
          </w:p>
        </w:tc>
        <w:tc>
          <w:tcPr>
            <w:tcW w:w="1123" w:type="dxa"/>
            <w:vAlign w:val="center"/>
          </w:tcPr>
          <w:p w14:paraId="56B10DE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Base maintenance</w:t>
            </w:r>
          </w:p>
        </w:tc>
        <w:tc>
          <w:tcPr>
            <w:tcW w:w="1440" w:type="dxa"/>
            <w:vAlign w:val="center"/>
          </w:tcPr>
          <w:p w14:paraId="616FA1A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Compliance monitoring</w:t>
            </w:r>
          </w:p>
        </w:tc>
        <w:tc>
          <w:tcPr>
            <w:tcW w:w="1224" w:type="dxa"/>
            <w:vAlign w:val="center"/>
          </w:tcPr>
          <w:p w14:paraId="129A314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Component workshop</w:t>
            </w:r>
          </w:p>
        </w:tc>
        <w:tc>
          <w:tcPr>
            <w:tcW w:w="1224" w:type="dxa"/>
            <w:vAlign w:val="center"/>
          </w:tcPr>
          <w:p w14:paraId="4060686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Subcontracting</w:t>
            </w:r>
          </w:p>
        </w:tc>
        <w:tc>
          <w:tcPr>
            <w:tcW w:w="850" w:type="dxa"/>
            <w:vAlign w:val="center"/>
          </w:tcPr>
          <w:p w14:paraId="4D92E0F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Other</w:t>
            </w:r>
          </w:p>
        </w:tc>
      </w:tr>
      <w:tr w:rsidR="00E52167" w:rsidRPr="00AD3643" w14:paraId="0824E436" w14:textId="77777777" w:rsidTr="00BF6234">
        <w:trPr>
          <w:cantSplit/>
        </w:trPr>
        <w:tc>
          <w:tcPr>
            <w:tcW w:w="1440" w:type="dxa"/>
            <w:vAlign w:val="center"/>
          </w:tcPr>
          <w:p w14:paraId="50F26C9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Facilities</w:t>
            </w:r>
          </w:p>
        </w:tc>
        <w:tc>
          <w:tcPr>
            <w:tcW w:w="1555" w:type="dxa"/>
            <w:vAlign w:val="center"/>
          </w:tcPr>
          <w:p w14:paraId="7F3D93F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145.A.25(a)(1)</w:t>
            </w:r>
          </w:p>
        </w:tc>
        <w:tc>
          <w:tcPr>
            <w:tcW w:w="1224" w:type="dxa"/>
            <w:vAlign w:val="center"/>
          </w:tcPr>
          <w:p w14:paraId="7861FE6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1.8</w:t>
            </w:r>
          </w:p>
        </w:tc>
        <w:tc>
          <w:tcPr>
            <w:tcW w:w="1123" w:type="dxa"/>
            <w:vAlign w:val="center"/>
          </w:tcPr>
          <w:p w14:paraId="626ADFD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1440" w:type="dxa"/>
            <w:vAlign w:val="center"/>
          </w:tcPr>
          <w:p w14:paraId="3919E3C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224" w:type="dxa"/>
            <w:vAlign w:val="center"/>
          </w:tcPr>
          <w:p w14:paraId="3144AE6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1224" w:type="dxa"/>
            <w:vAlign w:val="center"/>
          </w:tcPr>
          <w:p w14:paraId="32E4509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50" w:type="dxa"/>
            <w:vAlign w:val="center"/>
          </w:tcPr>
          <w:p w14:paraId="7BF52F4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r>
      <w:tr w:rsidR="00E52167" w:rsidRPr="00AD3643" w14:paraId="6F4EE422" w14:textId="77777777" w:rsidTr="00BF6234">
        <w:trPr>
          <w:cantSplit/>
        </w:trPr>
        <w:tc>
          <w:tcPr>
            <w:tcW w:w="1440" w:type="dxa"/>
            <w:vAlign w:val="center"/>
          </w:tcPr>
          <w:p w14:paraId="0A539E7F" w14:textId="77777777" w:rsidR="00E52167" w:rsidRPr="00AD3643" w:rsidRDefault="00E52167" w:rsidP="00C95D06">
            <w:pPr>
              <w:spacing w:after="0"/>
              <w:jc w:val="both"/>
              <w:rPr>
                <w:rFonts w:ascii="Times New Roman" w:hAnsi="Times New Roman" w:cs="Times New Roman"/>
                <w:sz w:val="24"/>
                <w:szCs w:val="24"/>
              </w:rPr>
            </w:pPr>
          </w:p>
        </w:tc>
        <w:tc>
          <w:tcPr>
            <w:tcW w:w="1555" w:type="dxa"/>
            <w:vAlign w:val="center"/>
          </w:tcPr>
          <w:p w14:paraId="44F42E6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AMC 145.A.25(a)</w:t>
            </w:r>
          </w:p>
        </w:tc>
        <w:tc>
          <w:tcPr>
            <w:tcW w:w="1224" w:type="dxa"/>
            <w:vAlign w:val="center"/>
          </w:tcPr>
          <w:p w14:paraId="66A5DF9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2.22</w:t>
            </w:r>
          </w:p>
        </w:tc>
        <w:tc>
          <w:tcPr>
            <w:tcW w:w="1123" w:type="dxa"/>
            <w:vAlign w:val="center"/>
          </w:tcPr>
          <w:p w14:paraId="047F957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1440" w:type="dxa"/>
            <w:vAlign w:val="center"/>
          </w:tcPr>
          <w:p w14:paraId="2D951E5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224" w:type="dxa"/>
            <w:vAlign w:val="center"/>
          </w:tcPr>
          <w:p w14:paraId="4CB9C6F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224" w:type="dxa"/>
            <w:vAlign w:val="center"/>
          </w:tcPr>
          <w:p w14:paraId="0E13105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50" w:type="dxa"/>
            <w:vAlign w:val="center"/>
          </w:tcPr>
          <w:p w14:paraId="0C673AF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r>
      <w:tr w:rsidR="00E52167" w:rsidRPr="00AD3643" w14:paraId="10BF7F8F" w14:textId="77777777" w:rsidTr="00BF6234">
        <w:trPr>
          <w:cantSplit/>
        </w:trPr>
        <w:tc>
          <w:tcPr>
            <w:tcW w:w="1440" w:type="dxa"/>
            <w:vAlign w:val="center"/>
          </w:tcPr>
          <w:p w14:paraId="4092DF9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Personnel</w:t>
            </w:r>
          </w:p>
        </w:tc>
        <w:tc>
          <w:tcPr>
            <w:tcW w:w="1555" w:type="dxa"/>
            <w:vAlign w:val="center"/>
          </w:tcPr>
          <w:p w14:paraId="5D988BC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145.A.30(c)</w:t>
            </w:r>
          </w:p>
        </w:tc>
        <w:tc>
          <w:tcPr>
            <w:tcW w:w="1224" w:type="dxa"/>
            <w:vAlign w:val="center"/>
          </w:tcPr>
          <w:p w14:paraId="40374F0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1.4</w:t>
            </w:r>
          </w:p>
        </w:tc>
        <w:tc>
          <w:tcPr>
            <w:tcW w:w="1123" w:type="dxa"/>
            <w:vAlign w:val="center"/>
          </w:tcPr>
          <w:p w14:paraId="24DF6B1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440" w:type="dxa"/>
            <w:vAlign w:val="center"/>
          </w:tcPr>
          <w:p w14:paraId="2A1BA633"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1224" w:type="dxa"/>
            <w:vAlign w:val="center"/>
          </w:tcPr>
          <w:p w14:paraId="01C3B46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224" w:type="dxa"/>
            <w:vAlign w:val="center"/>
          </w:tcPr>
          <w:p w14:paraId="4BEC2D3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850" w:type="dxa"/>
            <w:vAlign w:val="center"/>
          </w:tcPr>
          <w:p w14:paraId="3E8F0BA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r>
      <w:tr w:rsidR="00E52167" w:rsidRPr="00AD3643" w14:paraId="100EBEB5" w14:textId="77777777" w:rsidTr="00BF6234">
        <w:trPr>
          <w:cantSplit/>
        </w:trPr>
        <w:tc>
          <w:tcPr>
            <w:tcW w:w="1440" w:type="dxa"/>
            <w:vAlign w:val="center"/>
          </w:tcPr>
          <w:p w14:paraId="1D8D3BA9" w14:textId="77777777" w:rsidR="00E52167" w:rsidRPr="00AD3643" w:rsidRDefault="00E52167" w:rsidP="00C95D06">
            <w:pPr>
              <w:spacing w:after="0"/>
              <w:jc w:val="both"/>
              <w:rPr>
                <w:rFonts w:ascii="Times New Roman" w:hAnsi="Times New Roman" w:cs="Times New Roman"/>
                <w:sz w:val="24"/>
                <w:szCs w:val="24"/>
              </w:rPr>
            </w:pPr>
          </w:p>
        </w:tc>
        <w:tc>
          <w:tcPr>
            <w:tcW w:w="1555" w:type="dxa"/>
            <w:vAlign w:val="center"/>
          </w:tcPr>
          <w:p w14:paraId="4E368A6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145.A.30(d)</w:t>
            </w:r>
          </w:p>
        </w:tc>
        <w:tc>
          <w:tcPr>
            <w:tcW w:w="1224" w:type="dxa"/>
            <w:vAlign w:val="center"/>
          </w:tcPr>
          <w:p w14:paraId="1D685A4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1.7, 2.22</w:t>
            </w:r>
          </w:p>
        </w:tc>
        <w:tc>
          <w:tcPr>
            <w:tcW w:w="1123" w:type="dxa"/>
            <w:vAlign w:val="center"/>
          </w:tcPr>
          <w:p w14:paraId="475B120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1440" w:type="dxa"/>
            <w:vAlign w:val="center"/>
          </w:tcPr>
          <w:p w14:paraId="0BCE988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1224" w:type="dxa"/>
            <w:vAlign w:val="center"/>
          </w:tcPr>
          <w:p w14:paraId="0FBDC5D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1224" w:type="dxa"/>
            <w:vAlign w:val="center"/>
          </w:tcPr>
          <w:p w14:paraId="7E5C74D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X</w:t>
            </w:r>
          </w:p>
        </w:tc>
        <w:tc>
          <w:tcPr>
            <w:tcW w:w="850" w:type="dxa"/>
            <w:vAlign w:val="center"/>
          </w:tcPr>
          <w:p w14:paraId="3BFA655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r>
      <w:tr w:rsidR="00E52167" w:rsidRPr="00AD3643" w14:paraId="376A488B" w14:textId="77777777" w:rsidTr="00BF6234">
        <w:trPr>
          <w:cantSplit/>
        </w:trPr>
        <w:tc>
          <w:tcPr>
            <w:tcW w:w="1440" w:type="dxa"/>
            <w:vAlign w:val="center"/>
          </w:tcPr>
          <w:p w14:paraId="20B6E226" w14:textId="77777777" w:rsidR="00E52167" w:rsidRPr="00AD3643" w:rsidRDefault="00E52167" w:rsidP="00C95D06">
            <w:pPr>
              <w:spacing w:after="0"/>
              <w:jc w:val="both"/>
              <w:rPr>
                <w:rFonts w:ascii="Times New Roman" w:hAnsi="Times New Roman" w:cs="Times New Roman"/>
                <w:sz w:val="24"/>
                <w:szCs w:val="24"/>
              </w:rPr>
            </w:pPr>
          </w:p>
        </w:tc>
        <w:tc>
          <w:tcPr>
            <w:tcW w:w="1555" w:type="dxa"/>
            <w:vAlign w:val="center"/>
          </w:tcPr>
          <w:p w14:paraId="230E8EB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145.A.37</w:t>
            </w:r>
          </w:p>
        </w:tc>
        <w:tc>
          <w:tcPr>
            <w:tcW w:w="1224" w:type="dxa"/>
            <w:vAlign w:val="center"/>
          </w:tcPr>
          <w:p w14:paraId="0085E43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123" w:type="dxa"/>
            <w:vAlign w:val="center"/>
          </w:tcPr>
          <w:p w14:paraId="2B8FD9E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440" w:type="dxa"/>
            <w:vAlign w:val="center"/>
          </w:tcPr>
          <w:p w14:paraId="48A681C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224" w:type="dxa"/>
            <w:vAlign w:val="center"/>
          </w:tcPr>
          <w:p w14:paraId="36CD89FF"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1224" w:type="dxa"/>
            <w:vAlign w:val="center"/>
          </w:tcPr>
          <w:p w14:paraId="0633BD9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N/A</w:t>
            </w:r>
          </w:p>
        </w:tc>
        <w:tc>
          <w:tcPr>
            <w:tcW w:w="850" w:type="dxa"/>
            <w:vAlign w:val="center"/>
          </w:tcPr>
          <w:p w14:paraId="09FC8440"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r>
      <w:tr w:rsidR="00E52167" w:rsidRPr="00AD3643" w14:paraId="533507C6" w14:textId="77777777" w:rsidTr="00BF6234">
        <w:trPr>
          <w:cantSplit/>
        </w:trPr>
        <w:tc>
          <w:tcPr>
            <w:tcW w:w="1440" w:type="dxa"/>
            <w:vAlign w:val="center"/>
          </w:tcPr>
          <w:p w14:paraId="036DC64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Record-keeping</w:t>
            </w:r>
          </w:p>
        </w:tc>
        <w:tc>
          <w:tcPr>
            <w:tcW w:w="1555" w:type="dxa"/>
            <w:vAlign w:val="center"/>
          </w:tcPr>
          <w:p w14:paraId="255D4E9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145.A.55</w:t>
            </w:r>
          </w:p>
        </w:tc>
        <w:tc>
          <w:tcPr>
            <w:tcW w:w="1224" w:type="dxa"/>
            <w:vAlign w:val="center"/>
          </w:tcPr>
          <w:p w14:paraId="079CCFC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123" w:type="dxa"/>
            <w:vAlign w:val="center"/>
          </w:tcPr>
          <w:p w14:paraId="25DC8FE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440" w:type="dxa"/>
            <w:vAlign w:val="center"/>
          </w:tcPr>
          <w:p w14:paraId="1988DBF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224" w:type="dxa"/>
            <w:vAlign w:val="center"/>
          </w:tcPr>
          <w:p w14:paraId="326A9CA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224" w:type="dxa"/>
            <w:vAlign w:val="center"/>
          </w:tcPr>
          <w:p w14:paraId="3F08359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850" w:type="dxa"/>
            <w:vAlign w:val="center"/>
          </w:tcPr>
          <w:p w14:paraId="38FCBEE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r>
      <w:tr w:rsidR="00E52167" w:rsidRPr="00AD3643" w14:paraId="7F338D49" w14:textId="77777777" w:rsidTr="00BF6234">
        <w:trPr>
          <w:cantSplit/>
        </w:trPr>
        <w:tc>
          <w:tcPr>
            <w:tcW w:w="1440" w:type="dxa"/>
            <w:vAlign w:val="center"/>
          </w:tcPr>
          <w:p w14:paraId="34781EE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555" w:type="dxa"/>
            <w:vAlign w:val="center"/>
          </w:tcPr>
          <w:p w14:paraId="7F476EC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224" w:type="dxa"/>
            <w:vAlign w:val="center"/>
          </w:tcPr>
          <w:p w14:paraId="727255E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123" w:type="dxa"/>
            <w:vAlign w:val="center"/>
          </w:tcPr>
          <w:p w14:paraId="2755ADE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440" w:type="dxa"/>
            <w:vAlign w:val="center"/>
          </w:tcPr>
          <w:p w14:paraId="1CFE031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224" w:type="dxa"/>
            <w:vAlign w:val="center"/>
          </w:tcPr>
          <w:p w14:paraId="57C9405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224" w:type="dxa"/>
            <w:vAlign w:val="center"/>
          </w:tcPr>
          <w:p w14:paraId="5EB6A2F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850" w:type="dxa"/>
            <w:vAlign w:val="center"/>
          </w:tcPr>
          <w:p w14:paraId="1F9701F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r>
    </w:tbl>
    <w:p w14:paraId="77C035EF" w14:textId="77777777" w:rsidR="00E52167" w:rsidRPr="00AD3643" w:rsidRDefault="00E52167" w:rsidP="00C95D06">
      <w:pPr>
        <w:spacing w:after="0"/>
        <w:jc w:val="both"/>
        <w:rPr>
          <w:rFonts w:ascii="Times New Roman" w:hAnsi="Times New Roman" w:cs="Times New Roman"/>
          <w:sz w:val="24"/>
          <w:szCs w:val="24"/>
        </w:rPr>
      </w:pPr>
    </w:p>
    <w:p w14:paraId="23E1FAF3" w14:textId="77777777" w:rsidR="00E52167" w:rsidRPr="00AD3643" w:rsidRDefault="00E52167" w:rsidP="00C95D06">
      <w:pPr>
        <w:spacing w:after="0"/>
        <w:jc w:val="both"/>
        <w:rPr>
          <w:rFonts w:ascii="Times New Roman" w:hAnsi="Times New Roman" w:cs="Times New Roman"/>
          <w:sz w:val="24"/>
          <w:szCs w:val="24"/>
        </w:rPr>
      </w:pPr>
    </w:p>
    <w:p w14:paraId="2F65102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The audit plan can be presented as a simplified schedule (see below), showing the operational areas of the organisation (i.e. where the maintenance-related activities are effectively carried</w:t>
      </w:r>
    </w:p>
    <w:p w14:paraId="532858E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out) against a timetable to indicate when each particular area was scheduled for audit and when the audit was completed. The audit plan should include a number of product audits (depending on the number of product lines), some of which should be unannounced (see AMC2 145.A.200(a)(6)). Example (to be further completed) of an audit plan for an organisation, mentioned in point (e), that has two base maintenance hangars, and hydraulic and electrical workshops:</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592"/>
        <w:gridCol w:w="2232"/>
        <w:gridCol w:w="1512"/>
        <w:gridCol w:w="1584"/>
        <w:gridCol w:w="1440"/>
      </w:tblGrid>
      <w:tr w:rsidR="00E52167" w:rsidRPr="00AD3643" w14:paraId="57283605" w14:textId="77777777" w:rsidTr="00BF6234">
        <w:trPr>
          <w:cantSplit/>
          <w:tblHeader/>
        </w:trPr>
        <w:tc>
          <w:tcPr>
            <w:tcW w:w="2592" w:type="dxa"/>
            <w:vAlign w:val="center"/>
          </w:tcPr>
          <w:p w14:paraId="4DE7F92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Operational area</w:t>
            </w:r>
          </w:p>
        </w:tc>
        <w:tc>
          <w:tcPr>
            <w:tcW w:w="2232" w:type="dxa"/>
            <w:vAlign w:val="center"/>
          </w:tcPr>
          <w:p w14:paraId="574F09F7"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Functional area</w:t>
            </w:r>
          </w:p>
        </w:tc>
        <w:tc>
          <w:tcPr>
            <w:tcW w:w="1512" w:type="dxa"/>
            <w:vAlign w:val="center"/>
          </w:tcPr>
          <w:p w14:paraId="0E3E21AC"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Planned</w:t>
            </w:r>
          </w:p>
        </w:tc>
        <w:tc>
          <w:tcPr>
            <w:tcW w:w="1584" w:type="dxa"/>
            <w:vAlign w:val="center"/>
          </w:tcPr>
          <w:p w14:paraId="009E8E4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Completed</w:t>
            </w:r>
          </w:p>
        </w:tc>
        <w:tc>
          <w:tcPr>
            <w:tcW w:w="1440" w:type="dxa"/>
            <w:vAlign w:val="center"/>
          </w:tcPr>
          <w:p w14:paraId="5DC484D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b/>
                <w:sz w:val="24"/>
                <w:szCs w:val="24"/>
              </w:rPr>
              <w:t>Remarks</w:t>
            </w:r>
          </w:p>
        </w:tc>
      </w:tr>
      <w:tr w:rsidR="00E52167" w:rsidRPr="00AD3643" w14:paraId="09952CD2" w14:textId="77777777" w:rsidTr="00BF6234">
        <w:trPr>
          <w:cantSplit/>
        </w:trPr>
        <w:tc>
          <w:tcPr>
            <w:tcW w:w="2592" w:type="dxa"/>
            <w:vAlign w:val="center"/>
          </w:tcPr>
          <w:p w14:paraId="3CAD38EE" w14:textId="20CCAFB9"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Base</w:t>
            </w:r>
            <w:r w:rsidR="00BF6234">
              <w:rPr>
                <w:rFonts w:ascii="Times New Roman" w:hAnsi="Times New Roman" w:cs="Times New Roman"/>
                <w:sz w:val="24"/>
                <w:szCs w:val="24"/>
                <w:lang w:val="en-US"/>
              </w:rPr>
              <w:t xml:space="preserve"> </w:t>
            </w:r>
            <w:r w:rsidRPr="00AD3643">
              <w:rPr>
                <w:rFonts w:ascii="Times New Roman" w:hAnsi="Times New Roman" w:cs="Times New Roman"/>
                <w:sz w:val="24"/>
                <w:szCs w:val="24"/>
              </w:rPr>
              <w:t>maintenance hangar 1</w:t>
            </w:r>
          </w:p>
        </w:tc>
        <w:tc>
          <w:tcPr>
            <w:tcW w:w="2232" w:type="dxa"/>
            <w:vAlign w:val="center"/>
          </w:tcPr>
          <w:p w14:paraId="5C6DD78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Base maintenance</w:t>
            </w:r>
          </w:p>
        </w:tc>
        <w:tc>
          <w:tcPr>
            <w:tcW w:w="1512" w:type="dxa"/>
            <w:vAlign w:val="center"/>
          </w:tcPr>
          <w:p w14:paraId="7CF14FE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mmm yyyy</w:t>
            </w:r>
          </w:p>
        </w:tc>
        <w:tc>
          <w:tcPr>
            <w:tcW w:w="1584" w:type="dxa"/>
            <w:vAlign w:val="center"/>
          </w:tcPr>
          <w:p w14:paraId="5093E55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dd mmm yyyy</w:t>
            </w:r>
          </w:p>
        </w:tc>
        <w:tc>
          <w:tcPr>
            <w:tcW w:w="1440" w:type="dxa"/>
            <w:vAlign w:val="center"/>
          </w:tcPr>
          <w:p w14:paraId="54D1A433"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64C129F2" w14:textId="77777777" w:rsidTr="00BF6234">
        <w:trPr>
          <w:cantSplit/>
        </w:trPr>
        <w:tc>
          <w:tcPr>
            <w:tcW w:w="2592" w:type="dxa"/>
            <w:vAlign w:val="center"/>
          </w:tcPr>
          <w:p w14:paraId="3AE5242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lastRenderedPageBreak/>
              <w:t>Base maintenance hangar 2</w:t>
            </w:r>
          </w:p>
        </w:tc>
        <w:tc>
          <w:tcPr>
            <w:tcW w:w="2232" w:type="dxa"/>
            <w:vAlign w:val="center"/>
          </w:tcPr>
          <w:p w14:paraId="03A9621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Base maintenance</w:t>
            </w:r>
          </w:p>
        </w:tc>
        <w:tc>
          <w:tcPr>
            <w:tcW w:w="1512" w:type="dxa"/>
            <w:vAlign w:val="center"/>
          </w:tcPr>
          <w:p w14:paraId="14249F0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mmm yyyy</w:t>
            </w:r>
          </w:p>
        </w:tc>
        <w:tc>
          <w:tcPr>
            <w:tcW w:w="1584" w:type="dxa"/>
            <w:vAlign w:val="center"/>
          </w:tcPr>
          <w:p w14:paraId="5BF518B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dd mmm yyyy</w:t>
            </w:r>
          </w:p>
        </w:tc>
        <w:tc>
          <w:tcPr>
            <w:tcW w:w="1440" w:type="dxa"/>
            <w:vAlign w:val="center"/>
          </w:tcPr>
          <w:p w14:paraId="64C14000"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06CD9F87" w14:textId="77777777" w:rsidTr="00BF6234">
        <w:trPr>
          <w:cantSplit/>
        </w:trPr>
        <w:tc>
          <w:tcPr>
            <w:tcW w:w="2592" w:type="dxa"/>
            <w:vAlign w:val="center"/>
          </w:tcPr>
          <w:p w14:paraId="617322F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Hydraulic workshop</w:t>
            </w:r>
          </w:p>
        </w:tc>
        <w:tc>
          <w:tcPr>
            <w:tcW w:w="2232" w:type="dxa"/>
            <w:vAlign w:val="center"/>
          </w:tcPr>
          <w:p w14:paraId="1911802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Component workshop</w:t>
            </w:r>
          </w:p>
        </w:tc>
        <w:tc>
          <w:tcPr>
            <w:tcW w:w="1512" w:type="dxa"/>
            <w:vAlign w:val="center"/>
          </w:tcPr>
          <w:p w14:paraId="4F6F106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mmm yyyy</w:t>
            </w:r>
          </w:p>
        </w:tc>
        <w:tc>
          <w:tcPr>
            <w:tcW w:w="1584" w:type="dxa"/>
            <w:vAlign w:val="center"/>
          </w:tcPr>
          <w:p w14:paraId="72D4C88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dd mmm yyyy</w:t>
            </w:r>
          </w:p>
        </w:tc>
        <w:tc>
          <w:tcPr>
            <w:tcW w:w="1440" w:type="dxa"/>
            <w:vAlign w:val="center"/>
          </w:tcPr>
          <w:p w14:paraId="681EF5EE"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359352D3" w14:textId="77777777" w:rsidTr="00BF6234">
        <w:trPr>
          <w:cantSplit/>
        </w:trPr>
        <w:tc>
          <w:tcPr>
            <w:tcW w:w="2592" w:type="dxa"/>
            <w:vAlign w:val="center"/>
          </w:tcPr>
          <w:p w14:paraId="196DBF6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Electrical workshop</w:t>
            </w:r>
          </w:p>
        </w:tc>
        <w:tc>
          <w:tcPr>
            <w:tcW w:w="2232" w:type="dxa"/>
            <w:vAlign w:val="center"/>
          </w:tcPr>
          <w:p w14:paraId="2253D51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Component workshop</w:t>
            </w:r>
          </w:p>
        </w:tc>
        <w:tc>
          <w:tcPr>
            <w:tcW w:w="1512" w:type="dxa"/>
            <w:vAlign w:val="center"/>
          </w:tcPr>
          <w:p w14:paraId="0521A51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mmm yyyy</w:t>
            </w:r>
          </w:p>
        </w:tc>
        <w:tc>
          <w:tcPr>
            <w:tcW w:w="1584" w:type="dxa"/>
            <w:vAlign w:val="center"/>
          </w:tcPr>
          <w:p w14:paraId="76C690B5"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dd mmm yyyy</w:t>
            </w:r>
          </w:p>
        </w:tc>
        <w:tc>
          <w:tcPr>
            <w:tcW w:w="1440" w:type="dxa"/>
            <w:vAlign w:val="center"/>
          </w:tcPr>
          <w:p w14:paraId="3AAA628B"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014E5E7A" w14:textId="77777777" w:rsidTr="00BF6234">
        <w:trPr>
          <w:cantSplit/>
        </w:trPr>
        <w:tc>
          <w:tcPr>
            <w:tcW w:w="2592" w:type="dxa"/>
            <w:vAlign w:val="center"/>
          </w:tcPr>
          <w:p w14:paraId="6FDD4AC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Subcontractor 1</w:t>
            </w:r>
          </w:p>
        </w:tc>
        <w:tc>
          <w:tcPr>
            <w:tcW w:w="2232" w:type="dxa"/>
            <w:vAlign w:val="center"/>
          </w:tcPr>
          <w:p w14:paraId="178BBF1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Subcontracting</w:t>
            </w:r>
          </w:p>
        </w:tc>
        <w:tc>
          <w:tcPr>
            <w:tcW w:w="1512" w:type="dxa"/>
            <w:vAlign w:val="center"/>
          </w:tcPr>
          <w:p w14:paraId="672EB1B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mmm yyyy</w:t>
            </w:r>
          </w:p>
        </w:tc>
        <w:tc>
          <w:tcPr>
            <w:tcW w:w="1584" w:type="dxa"/>
            <w:vAlign w:val="center"/>
          </w:tcPr>
          <w:p w14:paraId="05659E7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dd mmm yyyy</w:t>
            </w:r>
          </w:p>
        </w:tc>
        <w:tc>
          <w:tcPr>
            <w:tcW w:w="1440" w:type="dxa"/>
            <w:vAlign w:val="center"/>
          </w:tcPr>
          <w:p w14:paraId="267C156B"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1262A748" w14:textId="77777777" w:rsidTr="00BF6234">
        <w:trPr>
          <w:cantSplit/>
        </w:trPr>
        <w:tc>
          <w:tcPr>
            <w:tcW w:w="2592" w:type="dxa"/>
            <w:vAlign w:val="center"/>
          </w:tcPr>
          <w:p w14:paraId="368B0F1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Product audit 1</w:t>
            </w:r>
          </w:p>
        </w:tc>
        <w:tc>
          <w:tcPr>
            <w:tcW w:w="2232" w:type="dxa"/>
            <w:vAlign w:val="center"/>
          </w:tcPr>
          <w:p w14:paraId="0FCDC11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Base maintenance</w:t>
            </w:r>
          </w:p>
        </w:tc>
        <w:tc>
          <w:tcPr>
            <w:tcW w:w="1512" w:type="dxa"/>
            <w:vAlign w:val="center"/>
          </w:tcPr>
          <w:p w14:paraId="637654D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mmm yyyy</w:t>
            </w:r>
          </w:p>
        </w:tc>
        <w:tc>
          <w:tcPr>
            <w:tcW w:w="1584" w:type="dxa"/>
            <w:vAlign w:val="center"/>
          </w:tcPr>
          <w:p w14:paraId="4DA1BE1B"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dd mmm yyyy</w:t>
            </w:r>
          </w:p>
        </w:tc>
        <w:tc>
          <w:tcPr>
            <w:tcW w:w="1440" w:type="dxa"/>
            <w:vAlign w:val="center"/>
          </w:tcPr>
          <w:p w14:paraId="5106F144"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During night</w:t>
            </w:r>
          </w:p>
        </w:tc>
      </w:tr>
      <w:tr w:rsidR="00E52167" w:rsidRPr="00AD3643" w14:paraId="0C1DB589" w14:textId="77777777" w:rsidTr="00BF6234">
        <w:trPr>
          <w:cantSplit/>
        </w:trPr>
        <w:tc>
          <w:tcPr>
            <w:tcW w:w="2592" w:type="dxa"/>
            <w:vAlign w:val="center"/>
          </w:tcPr>
          <w:p w14:paraId="6DB82602"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Product audit 2</w:t>
            </w:r>
          </w:p>
        </w:tc>
        <w:tc>
          <w:tcPr>
            <w:tcW w:w="2232" w:type="dxa"/>
            <w:vAlign w:val="center"/>
          </w:tcPr>
          <w:p w14:paraId="4C97050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Component workshop</w:t>
            </w:r>
          </w:p>
        </w:tc>
        <w:tc>
          <w:tcPr>
            <w:tcW w:w="1512" w:type="dxa"/>
            <w:vAlign w:val="center"/>
          </w:tcPr>
          <w:p w14:paraId="58A993F8"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unannounced</w:t>
            </w:r>
          </w:p>
        </w:tc>
        <w:tc>
          <w:tcPr>
            <w:tcW w:w="1584" w:type="dxa"/>
            <w:vAlign w:val="center"/>
          </w:tcPr>
          <w:p w14:paraId="7C9E7F89"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dd mmm yyyy</w:t>
            </w:r>
          </w:p>
        </w:tc>
        <w:tc>
          <w:tcPr>
            <w:tcW w:w="1440" w:type="dxa"/>
            <w:vAlign w:val="center"/>
          </w:tcPr>
          <w:p w14:paraId="678FA0EE" w14:textId="77777777" w:rsidR="00E52167" w:rsidRPr="00AD3643" w:rsidRDefault="00E52167" w:rsidP="00C95D06">
            <w:pPr>
              <w:spacing w:after="0"/>
              <w:jc w:val="both"/>
              <w:rPr>
                <w:rFonts w:ascii="Times New Roman" w:hAnsi="Times New Roman" w:cs="Times New Roman"/>
                <w:sz w:val="24"/>
                <w:szCs w:val="24"/>
              </w:rPr>
            </w:pPr>
          </w:p>
        </w:tc>
      </w:tr>
      <w:tr w:rsidR="00E52167" w:rsidRPr="00AD3643" w14:paraId="4028977E" w14:textId="77777777" w:rsidTr="00BF6234">
        <w:trPr>
          <w:cantSplit/>
        </w:trPr>
        <w:tc>
          <w:tcPr>
            <w:tcW w:w="2592" w:type="dxa"/>
            <w:vAlign w:val="center"/>
          </w:tcPr>
          <w:p w14:paraId="6ACA11E6"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2232" w:type="dxa"/>
            <w:vAlign w:val="center"/>
          </w:tcPr>
          <w:p w14:paraId="651D892E"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512" w:type="dxa"/>
            <w:vAlign w:val="center"/>
          </w:tcPr>
          <w:p w14:paraId="3924A7D1"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584" w:type="dxa"/>
            <w:vAlign w:val="center"/>
          </w:tcPr>
          <w:p w14:paraId="4E46CB4D"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c>
          <w:tcPr>
            <w:tcW w:w="1440" w:type="dxa"/>
            <w:vAlign w:val="center"/>
          </w:tcPr>
          <w:p w14:paraId="0CF222AA" w14:textId="77777777" w:rsidR="00E52167" w:rsidRPr="00AD3643" w:rsidRDefault="00E52167" w:rsidP="00C95D06">
            <w:pPr>
              <w:spacing w:after="0"/>
              <w:jc w:val="both"/>
              <w:rPr>
                <w:rFonts w:ascii="Times New Roman" w:hAnsi="Times New Roman" w:cs="Times New Roman"/>
                <w:sz w:val="24"/>
                <w:szCs w:val="24"/>
              </w:rPr>
            </w:pPr>
            <w:r w:rsidRPr="00AD3643">
              <w:rPr>
                <w:rFonts w:ascii="Times New Roman" w:hAnsi="Times New Roman" w:cs="Times New Roman"/>
                <w:sz w:val="24"/>
                <w:szCs w:val="24"/>
              </w:rPr>
              <w:t>…</w:t>
            </w:r>
          </w:p>
        </w:tc>
      </w:tr>
    </w:tbl>
    <w:p w14:paraId="70489E67" w14:textId="77777777" w:rsidR="00E52167" w:rsidRPr="00AD3643" w:rsidRDefault="00E52167" w:rsidP="00C95D06">
      <w:pPr>
        <w:spacing w:after="0"/>
        <w:jc w:val="both"/>
        <w:rPr>
          <w:rFonts w:ascii="Times New Roman" w:hAnsi="Times New Roman" w:cs="Times New Roman"/>
          <w:sz w:val="24"/>
          <w:szCs w:val="24"/>
        </w:rPr>
      </w:pPr>
    </w:p>
    <w:p w14:paraId="2CF1C942" w14:textId="77777777" w:rsidR="00E52167" w:rsidRPr="00AD3643" w:rsidRDefault="00E52167" w:rsidP="00C95D06">
      <w:pPr>
        <w:spacing w:after="0"/>
        <w:jc w:val="both"/>
        <w:rPr>
          <w:rFonts w:ascii="Times New Roman" w:hAnsi="Times New Roman" w:cs="Times New Roman"/>
          <w:sz w:val="24"/>
          <w:szCs w:val="24"/>
        </w:rPr>
      </w:pPr>
    </w:p>
    <w:p w14:paraId="52C2BBE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The audit of each operational area will review all the topics that are applicable to the relevant</w:t>
      </w:r>
    </w:p>
    <w:p w14:paraId="13B0298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functional area. For each topic, the audit should check that the particular Part-145 requirement is</w:t>
      </w:r>
    </w:p>
    <w:p w14:paraId="6834C20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documented in the corresponding procedure in the exposition, and that the procedure is effectively</w:t>
      </w:r>
    </w:p>
    <w:p w14:paraId="4B047F0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implemented in the operational area that is being audited. In addition, the audit should also identify</w:t>
      </w:r>
    </w:p>
    <w:p w14:paraId="068A0C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any practice/process implemented in the operational area which has not been documented in any</w:t>
      </w:r>
    </w:p>
    <w:p w14:paraId="7909C11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procedure in the exposition.</w:t>
      </w:r>
    </w:p>
    <w:p w14:paraId="25E682B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08" w:name="toc_sec_0147"/>
      <w:bookmarkStart w:id="309" w:name="_Toc241066162"/>
      <w:r w:rsidRPr="00AD3643">
        <w:rPr>
          <w:rFonts w:ascii="Times New Roman" w:hAnsi="Times New Roman" w:cs="Times New Roman"/>
          <w:sz w:val="24"/>
          <w:szCs w:val="24"/>
          <w:lang w:val="en-US"/>
        </w:rPr>
        <w:t>GM1 145.A.200(a)(6) and 145.B.300 Management system and Oversight principles</w:t>
      </w:r>
      <w:bookmarkEnd w:id="308"/>
      <w:bookmarkEnd w:id="309"/>
    </w:p>
    <w:p w14:paraId="2D61E933" w14:textId="168EE4B1"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THE USE OF INFORMATION AND COMMUNICATION TECHNOLOGIES (ICT) FOR PERFORMING REMOTE</w:t>
      </w:r>
      <w:r w:rsidR="00D139B4">
        <w:rPr>
          <w:rFonts w:cs="Times New Roman"/>
          <w:sz w:val="24"/>
          <w:szCs w:val="24"/>
        </w:rPr>
        <w:t xml:space="preserve"> </w:t>
      </w:r>
      <w:r w:rsidRPr="00AD3643">
        <w:rPr>
          <w:rFonts w:cs="Times New Roman"/>
          <w:sz w:val="24"/>
          <w:szCs w:val="24"/>
        </w:rPr>
        <w:t>AUDITS</w:t>
      </w:r>
    </w:p>
    <w:p w14:paraId="203C0CB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This GM provides technical guidance on the use of remote information and communication</w:t>
      </w:r>
    </w:p>
    <w:p w14:paraId="3AC185E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technologies (ICT) to support:</w:t>
      </w:r>
    </w:p>
    <w:p w14:paraId="2D39CCB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competent authorities when overseeing regulated organisations;</w:t>
      </w:r>
    </w:p>
    <w:p w14:paraId="1D6EBF3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regulated organisations when conducting internal audits/monitoring compliance of their organisation with the relevant requirements, and when evaluating vendors, suppliers and subcontractors.</w:t>
      </w:r>
    </w:p>
    <w:p w14:paraId="3CA9EF0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the context of this GM:</w:t>
      </w:r>
    </w:p>
    <w:p w14:paraId="5E42CD4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‘remote audit’ means an audit that is performed with the use of any real-time video and audio communication tools instead of the physical presence of the auditor on-site; the specificities of each type of approval need to be considered in addition to the general overview (described</w:t>
      </w:r>
    </w:p>
    <w:p w14:paraId="43CA2DC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below) when applying the ‘remote audit’ concept;</w:t>
      </w:r>
    </w:p>
    <w:p w14:paraId="3E4B175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‘auditing entity’ means the competent authority or organisation that performs the remote audit;</w:t>
      </w:r>
    </w:p>
    <w:p w14:paraId="61CB3B9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‘auditee’ means the entity being audited/inspected (or the entity audited/inspected by the auditing entity via a remote audit);</w:t>
      </w:r>
    </w:p>
    <w:p w14:paraId="4CBA320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It is the responsibility of the auditing entity to assess whether the use of remote ICT constitutes a</w:t>
      </w:r>
    </w:p>
    <w:p w14:paraId="1E1D068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suitable alternative to the physical presence of an auditor on-site in accordance with the applicable</w:t>
      </w:r>
    </w:p>
    <w:p w14:paraId="5A909C1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requirements.</w:t>
      </w:r>
    </w:p>
    <w:p w14:paraId="78C22FBE"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lastRenderedPageBreak/>
        <w:t>THE CONDUCT OF A REMOTE AUDIT</w:t>
      </w:r>
    </w:p>
    <w:p w14:paraId="4CAE8E1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auditing entity that decides to conduct a remote audit should describe the remote audit process</w:t>
      </w:r>
    </w:p>
    <w:p w14:paraId="5F8E3B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 its documented procedures and should consider at least the following elements:</w:t>
      </w:r>
    </w:p>
    <w:p w14:paraId="6E8DCFA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methodology for the use of remote ICT is sufficiently flexible and non-prescriptive in nature to optimise the conventional audit process.</w:t>
      </w:r>
    </w:p>
    <w:p w14:paraId="51651DC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Adequate controls are defined and are in place to avoid abuses that could compromise the integrity of the audit process.</w:t>
      </w:r>
    </w:p>
    <w:p w14:paraId="2F35285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Measures to ensure that the security and confidentiality are maintained throughout the audit activities (data protection and intellectual property of the organisation also need to be safeguarded).</w:t>
      </w:r>
    </w:p>
    <w:p w14:paraId="2559C73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Examples of the use of remote ICT during audits may include but are not limited to:</w:t>
      </w:r>
    </w:p>
    <w:p w14:paraId="003D07A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meetings by means of teleconference facilities, including audio, video and data sharing;</w:t>
      </w:r>
    </w:p>
    <w:p w14:paraId="405BC7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assessment of documents and records by means of remote access, in real time;</w:t>
      </w:r>
    </w:p>
    <w:p w14:paraId="1BFF2D3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recording, in real time during the process, of evidence to document the results of the audit, including non-conformities, by means of exchange of emails or documents, instant pictures, video or/and audio recordings;</w:t>
      </w:r>
    </w:p>
    <w:p w14:paraId="2776862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visual (livestream video) and audio access to facilities, stores, equipment, tools, processes, operations, etc.</w:t>
      </w:r>
    </w:p>
    <w:p w14:paraId="0906351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An agreement between the auditing entity and the auditee should be established when planning a</w:t>
      </w:r>
    </w:p>
    <w:p w14:paraId="4E300E9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remote audit, which should include the following:</w:t>
      </w:r>
    </w:p>
    <w:p w14:paraId="24ACC97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determining the platform for hosting the audit;</w:t>
      </w:r>
    </w:p>
    <w:p w14:paraId="13BAAC4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granting security and/or profile access to the auditor(s);</w:t>
      </w:r>
    </w:p>
    <w:p w14:paraId="7B711BC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testing platform compatibility between the auditing entity and the auditee prior to the audit;</w:t>
      </w:r>
    </w:p>
    <w:p w14:paraId="3D4298C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considering the use of webcams, cameras, drones, etc. when the physical evaluation of an event (product, part, process, etc.) is desired or is necessary;</w:t>
      </w:r>
    </w:p>
    <w:p w14:paraId="3EEBBFD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establishing an audit plan which will identify how remote ICT will be used and the extent of their use for the audit purposes to optimise their effectiveness and efficiency while maintaining the integrity of the audit process;</w:t>
      </w:r>
    </w:p>
    <w:p w14:paraId="752C7C9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if necessary, time zone acknowledgement and management to coordinate reasonable and mutually agreeable convening times;</w:t>
      </w:r>
    </w:p>
    <w:p w14:paraId="46B5927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documented statement of the auditee that they shall ensure full cooperation and provision of the actual and valid data as requested, including ensuring any supplier or subcontractor cooperation, if needed; and</w:t>
      </w:r>
    </w:p>
    <w:p w14:paraId="3EC19E3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data protection aspects.</w:t>
      </w:r>
    </w:p>
    <w:p w14:paraId="24DEEDB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following equipment and set-up elements should be considered:</w:t>
      </w:r>
    </w:p>
    <w:p w14:paraId="17530BA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suitability of video resolution, fidelity, and field of view for the verification being conducted;</w:t>
      </w:r>
    </w:p>
    <w:p w14:paraId="67F2F50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need for multiple cameras, imaging systems, or microphones, and whether the person that performs the verification can switch between them, or direct them to be switched and has the possibility to stop the process, ask a question, move the equipment, etc.;</w:t>
      </w:r>
    </w:p>
    <w:p w14:paraId="6EAE4A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controllability of viewing direction, zoom, and lighting;</w:t>
      </w:r>
    </w:p>
    <w:p w14:paraId="2F77BA9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appropriateness of audio fidelity for the evaluation being conducted; and</w:t>
      </w:r>
    </w:p>
    <w:p w14:paraId="1F3D135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real-time and uninterrupted communication between the person(s) participating to the remote audit from both locations (on-site and remotely).</w:t>
      </w:r>
    </w:p>
    <w:p w14:paraId="051B88B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When using remote ICT, the auditing entity and the other persons involved (e.g. drone pilots, technical</w:t>
      </w:r>
    </w:p>
    <w:p w14:paraId="0C595A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experts) should have the competence and ability to understand and utilise the remote ICT tools</w:t>
      </w:r>
    </w:p>
    <w:p w14:paraId="5AF1E84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employed to achieve the desired results of the audit(s)/assessment(s). The auditing entity should also</w:t>
      </w:r>
    </w:p>
    <w:p w14:paraId="0D687E0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be aware of the risks and opportunities of the remote ICT used and the impacts they may have on the</w:t>
      </w:r>
    </w:p>
    <w:p w14:paraId="7CB6A52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validity and objectivity of the information gathered.</w:t>
      </w:r>
    </w:p>
    <w:p w14:paraId="05EAE39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Audit reports and related records should indicate the extent to which remote ICT have been used in</w:t>
      </w:r>
    </w:p>
    <w:p w14:paraId="1F2A25F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conducting remote audits and the effectiveness of remote ICT in achieving the audit objectives,</w:t>
      </w:r>
    </w:p>
    <w:p w14:paraId="2F00711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including any item that has not been able to be completely reviewed.</w:t>
      </w:r>
    </w:p>
    <w:p w14:paraId="5C8C8C6D"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10" w:name="toc_sec_0148"/>
      <w:bookmarkStart w:id="311" w:name="_Toc241066163"/>
      <w:r w:rsidRPr="00AD3643">
        <w:rPr>
          <w:rFonts w:ascii="Times New Roman" w:hAnsi="Times New Roman" w:cs="Times New Roman"/>
          <w:sz w:val="24"/>
          <w:szCs w:val="24"/>
          <w:lang w:val="en-US"/>
        </w:rPr>
        <w:t>AMC1 145.A.202 Internal safety reporting scheme</w:t>
      </w:r>
      <w:bookmarkEnd w:id="310"/>
      <w:bookmarkEnd w:id="311"/>
    </w:p>
    <w:p w14:paraId="2C420F8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Each internal safety reporting scheme should ensure confidentiality and enable and encourage free and frank reporting of any potentially safety-related occurrence, including incidents such as errors or near misses, safety issues and identified hazards. This will be facilitated by the establishment of a just culture.</w:t>
      </w:r>
    </w:p>
    <w:p w14:paraId="7D5AA78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internal safety reporting scheme should contain the following elements:</w:t>
      </w:r>
    </w:p>
    <w:p w14:paraId="19D8C43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clearly identified aims and objectives with demonstrable corporate commitment;</w:t>
      </w:r>
    </w:p>
    <w:p w14:paraId="2BEBA52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a just culture policy as part of the safety policy, and related just culture implementation procedures;</w:t>
      </w:r>
    </w:p>
    <w:p w14:paraId="0A2CA89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a process to:</w:t>
      </w:r>
    </w:p>
    <w:p w14:paraId="6E4C31E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identify those reports which require investigation; and</w:t>
      </w:r>
    </w:p>
    <w:p w14:paraId="7C2403B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when so identified, investigate all the causal and contributing factors, including technical, organisational, managerial, or human factors issues, and any other contributing factors related to the occurrence, incident, error or near miss that was identified;</w:t>
      </w:r>
    </w:p>
    <w:p w14:paraId="0CB0AE8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if adapted to the size and complexity of the organisation, analyse the collective data showing the trends and frequencies of the contributing factors;</w:t>
      </w:r>
    </w:p>
    <w:p w14:paraId="71231E9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appropriate corrective actions based on the findings of investigations;</w:t>
      </w:r>
    </w:p>
    <w:p w14:paraId="6B58981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initial and recurrent training for staff involved in internal investigations;</w:t>
      </w:r>
    </w:p>
    <w:p w14:paraId="40D058B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where relevant, the organisation should cooperate with the owner, operator or CAMO on occurrence investigations by exchanging relevant information to improve aviation safety.</w:t>
      </w:r>
    </w:p>
    <w:p w14:paraId="13E7552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internal safety reporting scheme should:</w:t>
      </w:r>
    </w:p>
    <w:p w14:paraId="2CBA33E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ensure the confidentiality of the reporter;</w:t>
      </w:r>
    </w:p>
    <w:p w14:paraId="7E66C98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be closed loop, to ensure that actions are taken internally to address safety issues and hazards; and</w:t>
      </w:r>
    </w:p>
    <w:p w14:paraId="484D8C3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feed into the recurrent training as defined in AMC3 145.A.30(e) whilst maintaining the appropriate confidentiality.</w:t>
      </w:r>
    </w:p>
    <w:p w14:paraId="6208195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Feedback should be given to staff both on an individual and a more general basis to ensure their continued support of the safety reporting scheme.</w:t>
      </w:r>
    </w:p>
    <w:p w14:paraId="6BC08A13"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12" w:name="toc_sec_0149"/>
      <w:bookmarkStart w:id="313" w:name="_Toc241066164"/>
      <w:r w:rsidRPr="00AD3643">
        <w:rPr>
          <w:rFonts w:ascii="Times New Roman" w:hAnsi="Times New Roman" w:cs="Times New Roman"/>
          <w:sz w:val="24"/>
          <w:szCs w:val="24"/>
          <w:lang w:val="en-US"/>
        </w:rPr>
        <w:t>GM1 145.A.202 Internal safety reporting scheme</w:t>
      </w:r>
      <w:bookmarkEnd w:id="312"/>
      <w:bookmarkEnd w:id="313"/>
    </w:p>
    <w:p w14:paraId="7BAA7F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overall purpose of the internal safety reporting scheme is to collect information reported by the organisation personnel and use this reported information to improve the level of compliance and safety performance of the organisation. The purpose is not to attribute blame.</w:t>
      </w:r>
    </w:p>
    <w:p w14:paraId="56EA8B0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objectives of the scheme are to:</w:t>
      </w:r>
    </w:p>
    <w:p w14:paraId="7EE4352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(1)   enable an assessment to be made of the safety implications of each relevant incident (errors, near miss), safety issue and hazard reported, including previous similar issues, so that any necessary action can be initiated; and</w:t>
      </w:r>
    </w:p>
    <w:p w14:paraId="13D7059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ensure that knowledge of relevant incidents, safety issues and hazards is shared so that other persons and organisations may learn from them.</w:t>
      </w:r>
    </w:p>
    <w:p w14:paraId="3AFD1F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scheme is an essential part of the overall monitoring function and should be complementary to the normal day-to-day procedures and ‘control’ systems; it is not intended to duplicate or supersede any of them. The scheme is a tool to identify those instances in which routine procedures have failed or may fail.</w:t>
      </w:r>
    </w:p>
    <w:p w14:paraId="1BA9C3A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All reports should be retained, as the significance of such reports may only become obvious at a later date.</w:t>
      </w:r>
    </w:p>
    <w:p w14:paraId="5AC48BD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The collection and analysis of timely, appropriate and accurate data will allow the organisation to react to the information that it receives, and to take the necessary action.</w:t>
      </w:r>
    </w:p>
    <w:p w14:paraId="4136196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14" w:name="toc_sec_0150"/>
      <w:bookmarkStart w:id="315" w:name="_Toc241066165"/>
      <w:r w:rsidRPr="00AD3643">
        <w:rPr>
          <w:rFonts w:ascii="Times New Roman" w:hAnsi="Times New Roman" w:cs="Times New Roman"/>
          <w:sz w:val="24"/>
          <w:szCs w:val="24"/>
          <w:lang w:val="en-US"/>
        </w:rPr>
        <w:t>GM1 145.A.205 Contracting and subcontracting</w:t>
      </w:r>
      <w:bookmarkEnd w:id="314"/>
      <w:bookmarkEnd w:id="315"/>
    </w:p>
    <w:p w14:paraId="5E533FC7"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RESPONSIBILITY WHEN CONTRACTING OR SUBCONTRACTING MAINTENANCE</w:t>
      </w:r>
    </w:p>
    <w:p w14:paraId="3AC2A19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Regardless of the approval status of the subcontracted organisations, a Part-145 organisation is responsible for ensuring that all subcontracted activities are subject to hazard identification and risk management, as required by point 145.A.200(a)(3), and to compliance monitoring, as required by point 145.A.200(a)(6).</w:t>
      </w:r>
    </w:p>
    <w:p w14:paraId="57BCFD3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 Part-145 organisation is responsible for identifying hazards that may stem from the existence of complex maintenance arrangements (such as when multiple organisations are contracted, or when multiple levels of contracting/subcontracting are included) with due regard to the organisations’ interfaces (see GM1 145.A.200(a)(3)). In addition, the compliance monitoring function should at least check that the approval of the contracted maintenance organisation(s) effectively covers the contracted activities, and that it is still valid.</w:t>
      </w:r>
    </w:p>
    <w:p w14:paraId="084AC9AD" w14:textId="52D1A9BF"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   A Part-145 organisation is responsible for ensuring that interfaces and communication channels are established with the contracted maintenance organisation(s) for occurrence reporting. This does not replace the obligation of the contracted organisation(s) to report to the competent authority in accordance with </w:t>
      </w:r>
      <w:r w:rsidR="00DF2A71">
        <w:rPr>
          <w:rFonts w:ascii="Times New Roman" w:hAnsi="Times New Roman" w:cs="Times New Roman"/>
          <w:sz w:val="24"/>
          <w:szCs w:val="24"/>
          <w:lang w:val="en-US"/>
        </w:rPr>
        <w:t>GD 465/2025</w:t>
      </w:r>
      <w:r w:rsidRPr="00AD3643">
        <w:rPr>
          <w:rFonts w:ascii="Times New Roman" w:hAnsi="Times New Roman" w:cs="Times New Roman"/>
          <w:sz w:val="24"/>
          <w:szCs w:val="24"/>
          <w:lang w:val="en-US"/>
        </w:rPr>
        <w:t>. For subcontracted activities, interfaces and communication channels are also needed for the purpose of the internal safety reporting scheme (145.A.202).</w:t>
      </w:r>
    </w:p>
    <w:p w14:paraId="3827A925"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16" w:name="toc_sec_0151"/>
      <w:bookmarkStart w:id="317" w:name="_Toc241066166"/>
      <w:r w:rsidRPr="00AD3643">
        <w:rPr>
          <w:rFonts w:ascii="Times New Roman" w:hAnsi="Times New Roman" w:cs="Times New Roman"/>
          <w:sz w:val="24"/>
          <w:szCs w:val="24"/>
          <w:lang w:val="en-US"/>
        </w:rPr>
        <w:t>GM2 145.A.205 Contracting and subcontracting</w:t>
      </w:r>
      <w:bookmarkEnd w:id="316"/>
      <w:bookmarkEnd w:id="317"/>
    </w:p>
    <w:p w14:paraId="184F672D" w14:textId="77777777" w:rsidR="00600DA2" w:rsidRDefault="00E52167" w:rsidP="00C95D06">
      <w:pPr>
        <w:pStyle w:val="Heading31"/>
        <w:spacing w:before="60" w:after="0"/>
        <w:jc w:val="both"/>
        <w:rPr>
          <w:rFonts w:cs="Times New Roman"/>
          <w:sz w:val="24"/>
          <w:szCs w:val="24"/>
        </w:rPr>
      </w:pPr>
      <w:r w:rsidRPr="00AD3643">
        <w:rPr>
          <w:rFonts w:cs="Times New Roman"/>
          <w:sz w:val="24"/>
          <w:szCs w:val="24"/>
        </w:rPr>
        <w:t>DIFFERENCE BETWEEN ‘CONTRACTING MAINTENANCE’ AND</w:t>
      </w:r>
    </w:p>
    <w:p w14:paraId="21F7BA78" w14:textId="3CF18385"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 xml:space="preserve"> ‘SUBCONTRACTING MAINTENANCE’</w:t>
      </w:r>
    </w:p>
    <w:p w14:paraId="37B9489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‘Subcontracting maintenance’ means subcontracting to a third party under the maintenance organisation management system. This is the case when a third party carries out certain maintenance tasks on behalf of the Part-145 organisation, and the responsibility remains with the Part-145 organisation (this Part- 145 organisation must have the tasks within its scope of approval). Whether the third party is approved or not is not relevant for the designation of subcontracting, since the third party will be working under the management system of the Part-145 organisation, and the maintenance will be released under the approval of this organisation.</w:t>
      </w:r>
    </w:p>
    <w:p w14:paraId="5A21944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(b)   ‘Contracting maintenance’ means contracting to another maintenance organisation which will release the maintenance under its own approval. This is the case when a Part-145 organisation, contracted to carry out maintenance by an owner/operator/CAMO, further contracts certain maintenance tasks to another approved Part-145 organisation, and transfers the responsibility for the release of such tasks to the second Part-145 organisation. Contracting should only be envisaged when it is allowed by the person or organisation that requests the maintenance.</w:t>
      </w:r>
    </w:p>
    <w:p w14:paraId="5358B209" w14:textId="4C2954D3" w:rsidR="0078279C"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In case (a), the subcontracted organisation works under the approval of the contracting organisation, whereas in case (b), the contracted organisation works under its own approval.</w:t>
      </w:r>
    </w:p>
    <w:p w14:paraId="4417B9F2" w14:textId="2F9F3BC7" w:rsidR="0078279C" w:rsidRPr="0078279C" w:rsidRDefault="0078279C" w:rsidP="0078279C">
      <w:pPr>
        <w:pStyle w:val="Heading2"/>
        <w:spacing w:after="0"/>
        <w:jc w:val="both"/>
        <w:rPr>
          <w:rFonts w:ascii="Times New Roman" w:hAnsi="Times New Roman" w:cs="Times New Roman"/>
          <w:sz w:val="24"/>
          <w:szCs w:val="24"/>
          <w:lang w:val="en-US"/>
        </w:rPr>
      </w:pPr>
      <w:bookmarkStart w:id="318" w:name="toc_sec_0146"/>
      <w:bookmarkStart w:id="319" w:name="_Toc241066167"/>
      <w:r w:rsidRPr="0078279C">
        <w:rPr>
          <w:rFonts w:ascii="Times New Roman" w:hAnsi="Times New Roman" w:cs="Times New Roman"/>
          <w:sz w:val="24"/>
          <w:szCs w:val="24"/>
          <w:lang w:val="en-US"/>
        </w:rPr>
        <w:t>SECTION B - PROCEDURES FOR COMPETENT AUTHORITIES</w:t>
      </w:r>
      <w:bookmarkEnd w:id="318"/>
      <w:bookmarkEnd w:id="319"/>
    </w:p>
    <w:p w14:paraId="19D4CD4C"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20" w:name="toc_sec_0152"/>
      <w:bookmarkStart w:id="321" w:name="_Toc241066168"/>
      <w:r w:rsidRPr="00AD3643">
        <w:rPr>
          <w:rFonts w:ascii="Times New Roman" w:hAnsi="Times New Roman" w:cs="Times New Roman"/>
          <w:sz w:val="24"/>
          <w:szCs w:val="24"/>
          <w:lang w:val="en-US"/>
        </w:rPr>
        <w:t>GM1 145.B.120 Means of compliance</w:t>
      </w:r>
      <w:bookmarkEnd w:id="320"/>
      <w:bookmarkEnd w:id="321"/>
    </w:p>
    <w:p w14:paraId="5C40F251" w14:textId="4D89E16C"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ALTERNATIVE MEANS OF COMPLIANCE — GENERAL</w:t>
      </w:r>
    </w:p>
    <w:p w14:paraId="429D0815" w14:textId="09507A14"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   </w:t>
      </w:r>
      <w:r w:rsidR="0078279C">
        <w:rPr>
          <w:rFonts w:ascii="Times New Roman" w:hAnsi="Times New Roman" w:cs="Times New Roman"/>
          <w:sz w:val="24"/>
          <w:szCs w:val="24"/>
          <w:lang w:val="en-US"/>
        </w:rPr>
        <w:t>CAA</w:t>
      </w:r>
      <w:r w:rsidR="0078279C" w:rsidRPr="00AD3643">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 xml:space="preserve">may establish means to comply with the Regulation different from the AMC. In that case, the </w:t>
      </w:r>
      <w:r w:rsidR="00FE5963">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is responsible for demonstrating how these alternative means of compliance (AltMoC) establish compliance with the Regulation.</w:t>
      </w:r>
    </w:p>
    <w:p w14:paraId="1D4BF4BC" w14:textId="10D2D02E"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   AltMoC used by a </w:t>
      </w:r>
      <w:r w:rsidR="00FE5963">
        <w:rPr>
          <w:rFonts w:ascii="Times New Roman" w:hAnsi="Times New Roman" w:cs="Times New Roman"/>
          <w:sz w:val="24"/>
          <w:szCs w:val="24"/>
          <w:lang w:val="en-US"/>
        </w:rPr>
        <w:t>CAA</w:t>
      </w:r>
      <w:r w:rsidRPr="00AD3643">
        <w:rPr>
          <w:rFonts w:ascii="Times New Roman" w:hAnsi="Times New Roman" w:cs="Times New Roman"/>
          <w:sz w:val="24"/>
          <w:szCs w:val="24"/>
          <w:lang w:val="en-US"/>
        </w:rPr>
        <w:t>, or by an organisation under its oversight, may be used by other organisation, only if processed again in accordance with respectively point 145.B.120 and point 145.A.120.</w:t>
      </w:r>
    </w:p>
    <w:p w14:paraId="05F8816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AltMoC issued by the competent authority may cover the following cases:</w:t>
      </w:r>
    </w:p>
    <w:p w14:paraId="298818BE" w14:textId="3580978B"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AltMoC to be used by organisations under the oversight of the </w:t>
      </w:r>
      <w:r w:rsidR="00FE5963">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and made available to these organisations;</w:t>
      </w:r>
    </w:p>
    <w:p w14:paraId="6529F4D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AltMoC to be used by the authority itself to discharge its responsibilities.</w:t>
      </w:r>
    </w:p>
    <w:p w14:paraId="14E1A18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22" w:name="toc_sec_0153"/>
      <w:bookmarkStart w:id="323" w:name="_Toc241066169"/>
      <w:r w:rsidRPr="00AD3643">
        <w:rPr>
          <w:rFonts w:ascii="Times New Roman" w:hAnsi="Times New Roman" w:cs="Times New Roman"/>
          <w:sz w:val="24"/>
          <w:szCs w:val="24"/>
          <w:lang w:val="en-US"/>
        </w:rPr>
        <w:t>AMC1 145.B.120(b);(c) Means of compliance</w:t>
      </w:r>
      <w:bookmarkEnd w:id="322"/>
      <w:bookmarkEnd w:id="323"/>
    </w:p>
    <w:p w14:paraId="076EC1A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PROCESSING THE ALTERNATIVE MEANS OF COMPLIANCE</w:t>
      </w:r>
    </w:p>
    <w:p w14:paraId="3F07791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To meet the objective of points (b) and (c) of point 145.B.120:</w:t>
      </w:r>
    </w:p>
    <w:p w14:paraId="1CBDFA6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competent authority should establish the means to consistently evaluate over time that all the AltMoC used by itself or by organisations under its oversight allow for the establishment of compliance with the Regulation.</w:t>
      </w:r>
    </w:p>
    <w:p w14:paraId="3F3CAD2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If the competent authority issues AltMoC for itself or for the organisations under its oversight, it should:</w:t>
      </w:r>
    </w:p>
    <w:p w14:paraId="2DEB06D1" w14:textId="140BC172" w:rsidR="00E52167" w:rsidRPr="00AD3643" w:rsidRDefault="00E52167" w:rsidP="00D139B4">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make them available to all relevant organisations;</w:t>
      </w:r>
    </w:p>
    <w:p w14:paraId="2C714EAD" w14:textId="6AD179D0"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   The </w:t>
      </w:r>
      <w:r w:rsidR="00F05584">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should evaluate the AltMoC proposed by an organisation by analysing the documentation provided and, if considered necessary, inspecting the organisation. When the </w:t>
      </w:r>
      <w:r w:rsidR="00F05584">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finds that the AltMoC is in accordance with the Regulation, it should:</w:t>
      </w:r>
    </w:p>
    <w:p w14:paraId="11E4190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notify the applicant that the AltMoC is approved;</w:t>
      </w:r>
    </w:p>
    <w:p w14:paraId="76A083F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indicate that this AltMoC may be implemented, and agree when the MOE is to be amended; and</w:t>
      </w:r>
    </w:p>
    <w:p w14:paraId="297FF11B" w14:textId="531F48CA"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(d)   The competent authority should </w:t>
      </w:r>
      <w:r w:rsidR="00A8461F">
        <w:rPr>
          <w:rFonts w:ascii="Times New Roman" w:hAnsi="Times New Roman" w:cs="Times New Roman"/>
          <w:sz w:val="24"/>
          <w:szCs w:val="24"/>
          <w:lang w:val="en-US"/>
        </w:rPr>
        <w:t>have</w:t>
      </w:r>
      <w:r w:rsidRPr="00AD3643">
        <w:rPr>
          <w:rFonts w:ascii="Times New Roman" w:hAnsi="Times New Roman" w:cs="Times New Roman"/>
          <w:sz w:val="24"/>
          <w:szCs w:val="24"/>
          <w:lang w:val="en-US"/>
        </w:rPr>
        <w:t xml:space="preserve"> the following information:</w:t>
      </w:r>
    </w:p>
    <w:p w14:paraId="2C51514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summary of the AltMoC;</w:t>
      </w:r>
    </w:p>
    <w:p w14:paraId="46A8F58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content of the AltMoC;</w:t>
      </w:r>
    </w:p>
    <w:p w14:paraId="5AE00DD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statement that compliance with the Regulation is achieved; and</w:t>
      </w:r>
    </w:p>
    <w:p w14:paraId="6080BE9C" w14:textId="24A1EF33"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 xml:space="preserve">-     in support of that statement, an assessment demonstrating that the AltMoC reaches an acceptable level of safety, taking into account the level of safety provided by the corresponding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AMC. All these elements describing the AltMoC form an integral part of the records to be kept in accordance with 145.B.220.</w:t>
      </w:r>
    </w:p>
    <w:p w14:paraId="461D5305" w14:textId="77777777" w:rsidR="00E52167" w:rsidRPr="003D5115" w:rsidRDefault="00E52167" w:rsidP="00C95D06">
      <w:pPr>
        <w:pStyle w:val="Heading2"/>
        <w:spacing w:after="0"/>
        <w:jc w:val="both"/>
        <w:rPr>
          <w:rFonts w:ascii="Times New Roman" w:hAnsi="Times New Roman" w:cs="Times New Roman"/>
          <w:sz w:val="24"/>
          <w:szCs w:val="24"/>
          <w:lang w:val="en-US"/>
        </w:rPr>
      </w:pPr>
      <w:bookmarkStart w:id="324" w:name="toc_sec_0154"/>
      <w:bookmarkStart w:id="325" w:name="_Toc241066170"/>
      <w:r w:rsidRPr="003D5115">
        <w:rPr>
          <w:rFonts w:ascii="Times New Roman" w:hAnsi="Times New Roman" w:cs="Times New Roman"/>
          <w:sz w:val="24"/>
          <w:szCs w:val="24"/>
          <w:lang w:val="en-US"/>
        </w:rPr>
        <w:t>GM1 145.B.120(b);(c) Means of Compliance</w:t>
      </w:r>
      <w:bookmarkEnd w:id="324"/>
      <w:bookmarkEnd w:id="325"/>
    </w:p>
    <w:p w14:paraId="121A15BA" w14:textId="1CB8E1C1" w:rsidR="00E52167" w:rsidRPr="003D5115" w:rsidRDefault="00E52167" w:rsidP="00C95D06">
      <w:pPr>
        <w:pStyle w:val="Heading31"/>
        <w:spacing w:before="60" w:after="0"/>
        <w:jc w:val="both"/>
        <w:rPr>
          <w:rFonts w:cs="Times New Roman"/>
          <w:sz w:val="24"/>
          <w:szCs w:val="24"/>
        </w:rPr>
      </w:pPr>
      <w:r w:rsidRPr="003D5115">
        <w:rPr>
          <w:rFonts w:cs="Times New Roman"/>
          <w:sz w:val="24"/>
          <w:szCs w:val="24"/>
        </w:rPr>
        <w:t xml:space="preserve">CASE WHERE THE REGULATION HAS NO CORRESPONDING </w:t>
      </w:r>
      <w:r w:rsidR="00C95D06" w:rsidRPr="003D5115">
        <w:rPr>
          <w:rFonts w:cs="Times New Roman"/>
          <w:sz w:val="24"/>
          <w:szCs w:val="24"/>
        </w:rPr>
        <w:t>CAA</w:t>
      </w:r>
      <w:r w:rsidRPr="003D5115">
        <w:rPr>
          <w:rFonts w:cs="Times New Roman"/>
          <w:sz w:val="24"/>
          <w:szCs w:val="24"/>
        </w:rPr>
        <w:t xml:space="preserve"> AMC</w:t>
      </w:r>
    </w:p>
    <w:p w14:paraId="31F10831" w14:textId="4BA9E91E" w:rsidR="00E52167" w:rsidRPr="003D5115" w:rsidRDefault="00E52167" w:rsidP="00C95D06">
      <w:pPr>
        <w:spacing w:after="0"/>
        <w:jc w:val="both"/>
        <w:rPr>
          <w:rFonts w:ascii="Times New Roman" w:hAnsi="Times New Roman" w:cs="Times New Roman"/>
          <w:sz w:val="24"/>
          <w:szCs w:val="24"/>
          <w:lang w:val="en-US"/>
        </w:rPr>
      </w:pPr>
      <w:r w:rsidRPr="003D5115">
        <w:rPr>
          <w:rFonts w:ascii="Times New Roman" w:hAnsi="Times New Roman" w:cs="Times New Roman"/>
          <w:sz w:val="24"/>
          <w:szCs w:val="24"/>
          <w:lang w:val="en-US"/>
        </w:rPr>
        <w:t xml:space="preserve">When there is </w:t>
      </w:r>
      <w:r w:rsidR="009D519F">
        <w:rPr>
          <w:rFonts w:ascii="Times New Roman" w:hAnsi="Times New Roman" w:cs="Times New Roman"/>
          <w:sz w:val="24"/>
          <w:szCs w:val="24"/>
          <w:lang w:val="en-US"/>
        </w:rPr>
        <w:t xml:space="preserve">no </w:t>
      </w:r>
      <w:r w:rsidRPr="003D5115">
        <w:rPr>
          <w:rFonts w:ascii="Times New Roman" w:hAnsi="Times New Roman" w:cs="Times New Roman"/>
          <w:sz w:val="24"/>
          <w:szCs w:val="24"/>
          <w:lang w:val="en-US"/>
        </w:rPr>
        <w:t>AMC for a certain requirement in the Regulation, the competent authority may</w:t>
      </w:r>
      <w:r w:rsidR="00DF2A71" w:rsidRPr="003D5115">
        <w:rPr>
          <w:rFonts w:ascii="Times New Roman" w:hAnsi="Times New Roman" w:cs="Times New Roman"/>
          <w:sz w:val="24"/>
          <w:szCs w:val="24"/>
          <w:lang w:val="en-US"/>
        </w:rPr>
        <w:t xml:space="preserve"> </w:t>
      </w:r>
      <w:r w:rsidRPr="003D5115">
        <w:rPr>
          <w:rFonts w:ascii="Times New Roman" w:hAnsi="Times New Roman" w:cs="Times New Roman"/>
          <w:sz w:val="24"/>
          <w:szCs w:val="24"/>
          <w:lang w:val="en-US"/>
        </w:rPr>
        <w:t>choose to develop national guides or other types of documents to help the organisations under its</w:t>
      </w:r>
      <w:r w:rsidR="00DF2A71" w:rsidRPr="003D5115">
        <w:rPr>
          <w:rFonts w:ascii="Times New Roman" w:hAnsi="Times New Roman" w:cs="Times New Roman"/>
          <w:sz w:val="24"/>
          <w:szCs w:val="24"/>
          <w:lang w:val="en-US"/>
        </w:rPr>
        <w:t xml:space="preserve"> </w:t>
      </w:r>
      <w:r w:rsidRPr="003D5115">
        <w:rPr>
          <w:rFonts w:ascii="Times New Roman" w:hAnsi="Times New Roman" w:cs="Times New Roman"/>
          <w:sz w:val="24"/>
          <w:szCs w:val="24"/>
          <w:lang w:val="en-US"/>
        </w:rPr>
        <w:t>oversight in compliance demonstration.</w:t>
      </w:r>
    </w:p>
    <w:p w14:paraId="10E00627" w14:textId="7378CE3B" w:rsidR="00E52167" w:rsidRPr="003D5115" w:rsidRDefault="00E52167" w:rsidP="00A8461F">
      <w:pPr>
        <w:pStyle w:val="Heading2"/>
        <w:spacing w:after="0"/>
        <w:jc w:val="both"/>
        <w:rPr>
          <w:rFonts w:ascii="Times New Roman" w:hAnsi="Times New Roman" w:cs="Times New Roman"/>
          <w:sz w:val="24"/>
          <w:szCs w:val="24"/>
          <w:lang w:val="en-US"/>
        </w:rPr>
      </w:pPr>
      <w:bookmarkStart w:id="326" w:name="toc_sec_0159"/>
      <w:bookmarkStart w:id="327" w:name="_Toc241066171"/>
      <w:r w:rsidRPr="003D5115">
        <w:rPr>
          <w:rFonts w:ascii="Times New Roman" w:hAnsi="Times New Roman" w:cs="Times New Roman"/>
          <w:sz w:val="24"/>
          <w:szCs w:val="24"/>
          <w:lang w:val="en-US"/>
        </w:rPr>
        <w:t>AMC1 145.B.135A Immediate reaction to an information security</w:t>
      </w:r>
      <w:bookmarkEnd w:id="326"/>
      <w:r w:rsidR="00A8461F" w:rsidRPr="003D5115">
        <w:rPr>
          <w:rFonts w:ascii="Times New Roman" w:hAnsi="Times New Roman" w:cs="Times New Roman"/>
          <w:sz w:val="24"/>
          <w:szCs w:val="24"/>
          <w:lang w:val="en-US"/>
        </w:rPr>
        <w:t xml:space="preserve"> </w:t>
      </w:r>
      <w:r w:rsidRPr="003D5115">
        <w:rPr>
          <w:rFonts w:ascii="Times New Roman" w:hAnsi="Times New Roman" w:cs="Times New Roman"/>
          <w:sz w:val="24"/>
          <w:szCs w:val="24"/>
          <w:lang w:val="en-US"/>
        </w:rPr>
        <w:t>incident or vulnerability with an impact on aviation safety</w:t>
      </w:r>
      <w:bookmarkEnd w:id="327"/>
    </w:p>
    <w:p w14:paraId="4F190926" w14:textId="3338459C" w:rsidR="00E52167" w:rsidRPr="003D5115" w:rsidRDefault="00E52167" w:rsidP="00C95D06">
      <w:pPr>
        <w:spacing w:after="0"/>
        <w:jc w:val="both"/>
        <w:rPr>
          <w:rFonts w:ascii="Times New Roman" w:hAnsi="Times New Roman" w:cs="Times New Roman"/>
          <w:sz w:val="24"/>
          <w:szCs w:val="24"/>
          <w:lang w:val="en-US"/>
        </w:rPr>
      </w:pPr>
      <w:r w:rsidRPr="003D5115">
        <w:rPr>
          <w:rFonts w:ascii="Times New Roman" w:hAnsi="Times New Roman" w:cs="Times New Roman"/>
          <w:sz w:val="24"/>
          <w:szCs w:val="24"/>
          <w:lang w:val="en-US"/>
        </w:rPr>
        <w:t xml:space="preserve">(a)   To appropriately collect and analyse information related to information security incidents and vulnerabilities with a potential impact on aviation safety, the </w:t>
      </w:r>
      <w:r w:rsidR="003D5115" w:rsidRPr="003D5115">
        <w:rPr>
          <w:rFonts w:ascii="Times New Roman" w:hAnsi="Times New Roman" w:cs="Times New Roman"/>
          <w:sz w:val="24"/>
          <w:szCs w:val="24"/>
          <w:lang w:val="en-US"/>
        </w:rPr>
        <w:t>CAA</w:t>
      </w:r>
      <w:r w:rsidRPr="003D5115">
        <w:rPr>
          <w:rFonts w:ascii="Times New Roman" w:hAnsi="Times New Roman" w:cs="Times New Roman"/>
          <w:sz w:val="24"/>
          <w:szCs w:val="24"/>
          <w:lang w:val="en-US"/>
        </w:rPr>
        <w:t xml:space="preserve"> should implement means that ensure the necessary confidentiality.</w:t>
      </w:r>
    </w:p>
    <w:p w14:paraId="0E80D3A5" w14:textId="5DBA7195" w:rsidR="00E52167" w:rsidRPr="00AD3643" w:rsidRDefault="00E52167" w:rsidP="00C95D06">
      <w:pPr>
        <w:spacing w:after="0"/>
        <w:jc w:val="both"/>
        <w:rPr>
          <w:rFonts w:ascii="Times New Roman" w:hAnsi="Times New Roman" w:cs="Times New Roman"/>
          <w:sz w:val="24"/>
          <w:szCs w:val="24"/>
          <w:lang w:val="en-US"/>
        </w:rPr>
      </w:pPr>
      <w:r w:rsidRPr="003D5115">
        <w:rPr>
          <w:rFonts w:ascii="Times New Roman" w:hAnsi="Times New Roman" w:cs="Times New Roman"/>
          <w:sz w:val="24"/>
          <w:szCs w:val="24"/>
          <w:lang w:val="en-US"/>
        </w:rPr>
        <w:t xml:space="preserve">(b)   When disseminating information related to information security incidents and vulnerabilities with a potential impact on aviation safety, the </w:t>
      </w:r>
      <w:r w:rsidR="003D5115" w:rsidRPr="003D5115">
        <w:rPr>
          <w:rFonts w:ascii="Times New Roman" w:hAnsi="Times New Roman" w:cs="Times New Roman"/>
          <w:sz w:val="24"/>
          <w:szCs w:val="24"/>
          <w:lang w:val="en-US"/>
        </w:rPr>
        <w:t>CAA</w:t>
      </w:r>
      <w:r w:rsidRPr="003D5115">
        <w:rPr>
          <w:rFonts w:ascii="Times New Roman" w:hAnsi="Times New Roman" w:cs="Times New Roman"/>
          <w:sz w:val="24"/>
          <w:szCs w:val="24"/>
          <w:lang w:val="en-US"/>
        </w:rPr>
        <w:t xml:space="preserve"> should properly select the appropriate recipient(s) to prevent the content of a report from being exploited to the detriment of aviation safety, by revealing, for instance, uncorrected vulnerabilities.</w:t>
      </w:r>
    </w:p>
    <w:p w14:paraId="3589CD8E" w14:textId="3CCF3D7B" w:rsidR="00D36B84" w:rsidRDefault="00E52167" w:rsidP="00C95D06">
      <w:pPr>
        <w:pStyle w:val="Heading2"/>
        <w:spacing w:after="0"/>
        <w:jc w:val="both"/>
        <w:rPr>
          <w:rFonts w:ascii="Times New Roman" w:hAnsi="Times New Roman" w:cs="Times New Roman"/>
          <w:sz w:val="24"/>
          <w:szCs w:val="24"/>
          <w:lang w:val="en-US"/>
        </w:rPr>
      </w:pPr>
      <w:bookmarkStart w:id="328" w:name="toc_sec_0160"/>
      <w:bookmarkStart w:id="329" w:name="_Toc241066172"/>
      <w:r w:rsidRPr="00AD3643">
        <w:rPr>
          <w:rFonts w:ascii="Times New Roman" w:hAnsi="Times New Roman" w:cs="Times New Roman"/>
          <w:sz w:val="24"/>
          <w:szCs w:val="24"/>
          <w:lang w:val="en-US"/>
        </w:rPr>
        <w:t>GM1 145.B.135A Immediate reaction to an information security</w:t>
      </w:r>
      <w:bookmarkEnd w:id="328"/>
      <w:r w:rsidR="00D36B84">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incident or vulnerability with an impact on aviation safety</w:t>
      </w:r>
      <w:bookmarkEnd w:id="329"/>
      <w:r w:rsidR="00D36B84">
        <w:rPr>
          <w:rFonts w:ascii="Times New Roman" w:hAnsi="Times New Roman" w:cs="Times New Roman"/>
          <w:sz w:val="24"/>
          <w:szCs w:val="24"/>
          <w:lang w:val="en-US"/>
        </w:rPr>
        <w:t xml:space="preserve"> </w:t>
      </w:r>
    </w:p>
    <w:p w14:paraId="190E15BF" w14:textId="30C39436"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When deemed necessary, a two-step mechanism could be used: a report alerting about the</w:t>
      </w:r>
      <w:r w:rsidR="003C666F">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information security event or incident and the availability of additional data that would require</w:t>
      </w:r>
      <w:r w:rsidR="003C666F">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controlled and confidential distribution. This report should only alert recipients of the urgency and the</w:t>
      </w:r>
      <w:r w:rsidR="003D5115">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necessity for organisations and competent authorities to establish further communication through</w:t>
      </w:r>
      <w:r w:rsidR="003C666F">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secure means.</w:t>
      </w:r>
    </w:p>
    <w:p w14:paraId="4C64F1C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Therefore, the report should consist of two parts: one limited to mostly public information and one</w:t>
      </w:r>
    </w:p>
    <w:p w14:paraId="579BBA9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containing the sensitive data that should be restricted to the recipients who need to know. Wherever</w:t>
      </w:r>
    </w:p>
    <w:p w14:paraId="0C51997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possible, reports should be based on an agreed taxonomy.</w:t>
      </w:r>
    </w:p>
    <w:p w14:paraId="0565C2CC"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30" w:name="toc_sec_0161"/>
      <w:bookmarkStart w:id="331" w:name="_Toc241066173"/>
      <w:r w:rsidRPr="00AD3643">
        <w:rPr>
          <w:rFonts w:ascii="Times New Roman" w:hAnsi="Times New Roman" w:cs="Times New Roman"/>
          <w:sz w:val="24"/>
          <w:szCs w:val="24"/>
          <w:lang w:val="en-US"/>
        </w:rPr>
        <w:t>AMC1 145.B.200 Management system</w:t>
      </w:r>
      <w:bookmarkEnd w:id="330"/>
      <w:bookmarkEnd w:id="331"/>
    </w:p>
    <w:p w14:paraId="7F5E6480"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ORGANISATIONAL STRUCTURE</w:t>
      </w:r>
    </w:p>
    <w:p w14:paraId="634277B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In deciding upon the required organisational structure, the competent authority should review:</w:t>
      </w:r>
    </w:p>
    <w:p w14:paraId="07F67814" w14:textId="7C368054"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number of certificates to be issued, and the number and size of the potential Part-145 approved maintenance organisations within th</w:t>
      </w:r>
      <w:r w:rsidR="00121349">
        <w:rPr>
          <w:rFonts w:ascii="Times New Roman" w:hAnsi="Times New Roman" w:cs="Times New Roman"/>
          <w:sz w:val="24"/>
          <w:szCs w:val="24"/>
          <w:lang w:val="en-US"/>
        </w:rPr>
        <w:t>e</w:t>
      </w:r>
      <w:r w:rsidRPr="00AD3643">
        <w:rPr>
          <w:rFonts w:ascii="Times New Roman" w:hAnsi="Times New Roman" w:cs="Times New Roman"/>
          <w:sz w:val="24"/>
          <w:szCs w:val="24"/>
          <w:lang w:val="en-US"/>
        </w:rPr>
        <w:t xml:space="preserve"> </w:t>
      </w:r>
      <w:r w:rsidR="00121349">
        <w:rPr>
          <w:rFonts w:ascii="Times New Roman" w:hAnsi="Times New Roman" w:cs="Times New Roman"/>
          <w:sz w:val="24"/>
          <w:szCs w:val="24"/>
          <w:lang w:val="en-US"/>
        </w:rPr>
        <w:t>s</w:t>
      </w:r>
      <w:r w:rsidRPr="00AD3643">
        <w:rPr>
          <w:rFonts w:ascii="Times New Roman" w:hAnsi="Times New Roman" w:cs="Times New Roman"/>
          <w:sz w:val="24"/>
          <w:szCs w:val="24"/>
          <w:lang w:val="en-US"/>
        </w:rPr>
        <w:t>tate;</w:t>
      </w:r>
    </w:p>
    <w:p w14:paraId="15694247" w14:textId="727AE922"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   the possible use of qualified entities and of the resources of the competent authorities of other </w:t>
      </w:r>
      <w:r w:rsidR="00121349">
        <w:rPr>
          <w:rFonts w:ascii="Times New Roman" w:hAnsi="Times New Roman" w:cs="Times New Roman"/>
          <w:sz w:val="24"/>
          <w:szCs w:val="24"/>
          <w:lang w:val="en-US"/>
        </w:rPr>
        <w:t>s</w:t>
      </w:r>
      <w:r w:rsidRPr="00AD3643">
        <w:rPr>
          <w:rFonts w:ascii="Times New Roman" w:hAnsi="Times New Roman" w:cs="Times New Roman"/>
          <w:sz w:val="24"/>
          <w:szCs w:val="24"/>
          <w:lang w:val="en-US"/>
        </w:rPr>
        <w:t>tates to fulfil the continuing oversight obligations;</w:t>
      </w:r>
    </w:p>
    <w:p w14:paraId="02205B50" w14:textId="6EAB019C"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(3)   the level of civil aviation activity, the number and complexity of the aircraft, and the size of the </w:t>
      </w:r>
      <w:r w:rsidR="00121349">
        <w:rPr>
          <w:rFonts w:ascii="Times New Roman" w:hAnsi="Times New Roman" w:cs="Times New Roman"/>
          <w:sz w:val="24"/>
          <w:szCs w:val="24"/>
          <w:lang w:val="en-US"/>
        </w:rPr>
        <w:t>s</w:t>
      </w:r>
      <w:r w:rsidRPr="00AD3643">
        <w:rPr>
          <w:rFonts w:ascii="Times New Roman" w:hAnsi="Times New Roman" w:cs="Times New Roman"/>
          <w:sz w:val="24"/>
          <w:szCs w:val="24"/>
          <w:lang w:val="en-US"/>
        </w:rPr>
        <w:t>tate’s aviation industry; and</w:t>
      </w:r>
    </w:p>
    <w:p w14:paraId="2E5BC46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potential growth of activities in the field of civil aviation.</w:t>
      </w:r>
    </w:p>
    <w:p w14:paraId="118ABA6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(b)   The competent authority should retain effective control of the important surveillance functions and should not delegate them in such a way that Part-145 organisations, in effect, regulate themselves in airworthiness matters.</w:t>
      </w:r>
    </w:p>
    <w:p w14:paraId="121DCC2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set-up of the organisational structure should ensure that the various tasks and obligations of the competent authority do not solely rely on individuals. The continuous and undisturbed fulfilment of these tasks and obligations of the competent authority should also be guaranteed in case of illness, accidents or leave of individual employees.</w:t>
      </w:r>
    </w:p>
    <w:p w14:paraId="1C2C9EC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32" w:name="toc_sec_0162"/>
      <w:bookmarkStart w:id="333" w:name="_Toc241066174"/>
      <w:r w:rsidRPr="00AD3643">
        <w:rPr>
          <w:rFonts w:ascii="Times New Roman" w:hAnsi="Times New Roman" w:cs="Times New Roman"/>
          <w:sz w:val="24"/>
          <w:szCs w:val="24"/>
          <w:lang w:val="en-US"/>
        </w:rPr>
        <w:t>AMC2 145.B.200 Management system</w:t>
      </w:r>
      <w:bookmarkEnd w:id="332"/>
      <w:bookmarkEnd w:id="333"/>
    </w:p>
    <w:p w14:paraId="393CCAEE" w14:textId="3D4F115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competent authority should be organised in such a way that:</w:t>
      </w:r>
    </w:p>
    <w:p w14:paraId="6C41ED3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there is specific and effective management authority in the conduct of all the relevant activities;</w:t>
      </w:r>
    </w:p>
    <w:p w14:paraId="38355DBF" w14:textId="615FEC5F"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(2)   the functions and processes described in the applicable requirements of </w:t>
      </w:r>
      <w:r w:rsidR="009F5E4F">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and implementing acts, AMC, Certification Specifications (CSs), and Guidance Material (GM) are properly implemented;</w:t>
      </w:r>
    </w:p>
    <w:p w14:paraId="0C4C7581" w14:textId="0440FCE8"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(3)   the competent authority’s policy, organisation and operating procedures for the implementation of the applicable requirements of </w:t>
      </w:r>
      <w:r w:rsidR="009F5E4F">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and implementing acts are properly documented and applied;</w:t>
      </w:r>
    </w:p>
    <w:p w14:paraId="6C4488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all the competent authority’s personnel who are involved in the related activities are provided with training where necessary;</w:t>
      </w:r>
    </w:p>
    <w:p w14:paraId="1C3321D5" w14:textId="57102CD4"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(5)   specific and effective provision is made for communicating and interfacing as necessary with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and the competent authorities of other </w:t>
      </w:r>
      <w:r w:rsidR="00F869F4">
        <w:rPr>
          <w:rFonts w:ascii="Times New Roman" w:hAnsi="Times New Roman" w:cs="Times New Roman"/>
          <w:sz w:val="24"/>
          <w:szCs w:val="24"/>
          <w:lang w:val="en-US"/>
        </w:rPr>
        <w:t>s</w:t>
      </w:r>
      <w:r w:rsidRPr="00AD3643">
        <w:rPr>
          <w:rFonts w:ascii="Times New Roman" w:hAnsi="Times New Roman" w:cs="Times New Roman"/>
          <w:sz w:val="24"/>
          <w:szCs w:val="24"/>
          <w:lang w:val="en-US"/>
        </w:rPr>
        <w:t>tates; and</w:t>
      </w:r>
    </w:p>
    <w:p w14:paraId="70A5A6A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all the functions related to implementing the applicable requirements are adequately described.</w:t>
      </w:r>
    </w:p>
    <w:p w14:paraId="22ED2B3B" w14:textId="4BBE872A" w:rsidR="00E52167" w:rsidRPr="00AD3643" w:rsidRDefault="00E52167" w:rsidP="00036081">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   A general policy in respect of the activities related to the applicable requirements of </w:t>
      </w:r>
      <w:r w:rsidR="00036081">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and implementing acts should be developed, promoted, and implemented by the manager at the highest appropriate level; for example, the manager at the top of the functional area of the competent authority that is responsible for such activities.</w:t>
      </w:r>
    </w:p>
    <w:p w14:paraId="7FA03BD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Appropriate steps should be taken to ensure that the policy is known and understood by all the personnel involved, and all the necessary steps should be taken to implement and maintain the policy.</w:t>
      </w:r>
    </w:p>
    <w:p w14:paraId="4123A26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general policy, whilst also satisfying the additional national regulatory responsibilities, should, in particular, take into account:</w:t>
      </w:r>
    </w:p>
    <w:p w14:paraId="0F1A55C3" w14:textId="3A808B0A"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the provisions of </w:t>
      </w:r>
      <w:r w:rsidR="00036081">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w:t>
      </w:r>
    </w:p>
    <w:p w14:paraId="0058D57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provisions of the applicable implementing rules and their AMC, CSs, and GM;</w:t>
      </w:r>
    </w:p>
    <w:p w14:paraId="6B02C00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needs of industry; and</w:t>
      </w:r>
    </w:p>
    <w:p w14:paraId="638CA48E" w14:textId="3F71F634"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needs of the competent authority.</w:t>
      </w:r>
    </w:p>
    <w:p w14:paraId="2591BAA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The policy should define specific objectives for the key elements of the competent authority organisation and processes for implementing the related activities, including the corresponding control procedures and the measurement of the achieved standard.</w:t>
      </w:r>
    </w:p>
    <w:p w14:paraId="62B31F3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34" w:name="toc_sec_0163"/>
      <w:bookmarkStart w:id="335" w:name="_Toc241066175"/>
      <w:r w:rsidRPr="00AD3643">
        <w:rPr>
          <w:rFonts w:ascii="Times New Roman" w:hAnsi="Times New Roman" w:cs="Times New Roman"/>
          <w:sz w:val="24"/>
          <w:szCs w:val="24"/>
          <w:lang w:val="en-US"/>
        </w:rPr>
        <w:t>AMC1 145.B.200(a)(1) Management system</w:t>
      </w:r>
      <w:bookmarkEnd w:id="334"/>
      <w:bookmarkEnd w:id="335"/>
    </w:p>
    <w:p w14:paraId="7377DCE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DOCUMENTED POLICIES AND PROCEDURES</w:t>
      </w:r>
    </w:p>
    <w:p w14:paraId="58632B84" w14:textId="5B111DE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   The various elements of the organisation involved with the activities related to </w:t>
      </w:r>
      <w:r w:rsidR="00036081">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and implementing acts should be documented in order to establish a reference source for the establishment and maintenance of this organisation.</w:t>
      </w:r>
    </w:p>
    <w:p w14:paraId="6F89427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(b)   The documented procedures should be established in a way that facilitates their use. They should be clearly identified, kept up to date, and made readily available to all the personnel who are involved in the related activities.</w:t>
      </w:r>
    </w:p>
    <w:p w14:paraId="7FC6BA9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documented procedures should cover, as a minimum, all of the following aspects:</w:t>
      </w:r>
    </w:p>
    <w:p w14:paraId="05F064D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policies and objectives;</w:t>
      </w:r>
    </w:p>
    <w:p w14:paraId="7259FC1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organisational structure;</w:t>
      </w:r>
    </w:p>
    <w:p w14:paraId="0129436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responsibilities and the associated authority;</w:t>
      </w:r>
    </w:p>
    <w:p w14:paraId="270C2EE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procedures and processes;</w:t>
      </w:r>
    </w:p>
    <w:p w14:paraId="1970DF6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internal and external interfaces;</w:t>
      </w:r>
    </w:p>
    <w:p w14:paraId="664EAB1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internal control procedures;</w:t>
      </w:r>
    </w:p>
    <w:p w14:paraId="7306FF5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the training of personnel;</w:t>
      </w:r>
    </w:p>
    <w:p w14:paraId="6E7F7F2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cross-references to associated documents;</w:t>
      </w:r>
    </w:p>
    <w:p w14:paraId="2C3D0801" w14:textId="7E09DFB0"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(9)   assistance from other competent authorities or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(where required).</w:t>
      </w:r>
    </w:p>
    <w:p w14:paraId="3C68E14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It is likely that the information may be held in more than one document or series of documents, and suitable cross-referencing should be provided. For example, the organisational structure and job descriptions are not usually in the same documentation as the detailed working</w:t>
      </w:r>
    </w:p>
    <w:p w14:paraId="1E98707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procedures. In such cases, it is recommended that the documented procedures should include an index of cross references to all such other related information, and the related documentation should be readily available when required.</w:t>
      </w:r>
    </w:p>
    <w:p w14:paraId="591F33C2"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36" w:name="toc_sec_0164"/>
      <w:bookmarkStart w:id="337" w:name="_Toc241066176"/>
      <w:r w:rsidRPr="00AD3643">
        <w:rPr>
          <w:rFonts w:ascii="Times New Roman" w:hAnsi="Times New Roman" w:cs="Times New Roman"/>
          <w:sz w:val="24"/>
          <w:szCs w:val="24"/>
          <w:lang w:val="en-US"/>
        </w:rPr>
        <w:t>GM1 145.B.200(a)(2) Management system</w:t>
      </w:r>
      <w:bookmarkEnd w:id="336"/>
      <w:bookmarkEnd w:id="337"/>
    </w:p>
    <w:p w14:paraId="4619673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SUFFICIENT PERSONNEL</w:t>
      </w:r>
    </w:p>
    <w:p w14:paraId="579911C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This GM on the determination of the required personnel is limited to the performance of certification and oversight tasks, excluding any personnel who are required to perform tasks that are subject to any national regulatory requirements.</w:t>
      </w:r>
    </w:p>
    <w:p w14:paraId="264AE71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elements to be considered when determining who are the required personnel and planning their availability may be divided into quantitative and qualitative elements:</w:t>
      </w:r>
    </w:p>
    <w:p w14:paraId="229120C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Quantitative elements</w:t>
      </w:r>
    </w:p>
    <w:p w14:paraId="34A217B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estimated number of initial certificates to be issued;</w:t>
      </w:r>
    </w:p>
    <w:p w14:paraId="49751A5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the number of organisations to be certified by the competent authority;</w:t>
      </w:r>
    </w:p>
    <w:p w14:paraId="2C7FE79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the estimated number of subcontracted organisations used by certified organisations.</w:t>
      </w:r>
    </w:p>
    <w:p w14:paraId="41E4C5A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Qualitative elements</w:t>
      </w:r>
    </w:p>
    <w:p w14:paraId="008069A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size, nature, and complexity of the activities of certified organisations, taking into account:</w:t>
      </w:r>
    </w:p>
    <w:p w14:paraId="5962AD9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privileges of each organisation;</w:t>
      </w:r>
    </w:p>
    <w:p w14:paraId="39A99BD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types of approval and the scopes of approval;</w:t>
      </w:r>
    </w:p>
    <w:p w14:paraId="3ACBAE2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possible certification to industry standards;</w:t>
      </w:r>
    </w:p>
    <w:p w14:paraId="32E56A2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number of personnel; and</w:t>
      </w:r>
    </w:p>
    <w:p w14:paraId="262665C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the organisational structure and the existence of subsidiaries;</w:t>
      </w:r>
    </w:p>
    <w:p w14:paraId="2A1AAC8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the safety priorities identified;</w:t>
      </w:r>
    </w:p>
    <w:p w14:paraId="5C5983D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the results of past oversight activities, including audits, inspections and reviews, in terms of risks and regulatory compliance, taking into account:</w:t>
      </w:r>
    </w:p>
    <w:p w14:paraId="7123D64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number and the levels of findings;</w:t>
      </w:r>
    </w:p>
    <w:p w14:paraId="06E02F5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time frame for implementation of corrective actions; and</w:t>
      </w:r>
    </w:p>
    <w:p w14:paraId="4AAF02DF" w14:textId="4AC539EF" w:rsidR="00E52167" w:rsidRPr="00A05385" w:rsidRDefault="00E52167" w:rsidP="00A05385">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(C)   the maturity of the management systems implemented by organisations, and their ability to effectively manage safety risks; and</w:t>
      </w:r>
    </w:p>
    <w:p w14:paraId="370DFE67" w14:textId="4900C4C5"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(iv)   the size and complexity of the</w:t>
      </w:r>
      <w:r w:rsidR="00F869F4">
        <w:rPr>
          <w:rFonts w:ascii="Times New Roman" w:hAnsi="Times New Roman" w:cs="Times New Roman"/>
          <w:sz w:val="24"/>
          <w:szCs w:val="24"/>
          <w:lang w:val="en-US"/>
        </w:rPr>
        <w:t xml:space="preserve"> s</w:t>
      </w:r>
      <w:r w:rsidRPr="00AD3643">
        <w:rPr>
          <w:rFonts w:ascii="Times New Roman" w:hAnsi="Times New Roman" w:cs="Times New Roman"/>
          <w:sz w:val="24"/>
          <w:szCs w:val="24"/>
          <w:lang w:val="en-US"/>
        </w:rPr>
        <w:t>tate’s aviation industry, and the potential growth of activities in the field of civil aviation, which may be an indication of the number of new applications and changes to existing certificates to be expected.</w:t>
      </w:r>
    </w:p>
    <w:p w14:paraId="2EE583A5" w14:textId="77023881"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   Based on the existing data from previous oversight planning cycles, and taking into account the situation within the </w:t>
      </w:r>
      <w:r w:rsidR="00F869F4">
        <w:rPr>
          <w:rFonts w:ascii="Times New Roman" w:hAnsi="Times New Roman" w:cs="Times New Roman"/>
          <w:sz w:val="24"/>
          <w:szCs w:val="24"/>
          <w:lang w:val="en-US"/>
        </w:rPr>
        <w:t>s</w:t>
      </w:r>
      <w:r w:rsidRPr="00AD3643">
        <w:rPr>
          <w:rFonts w:ascii="Times New Roman" w:hAnsi="Times New Roman" w:cs="Times New Roman"/>
          <w:sz w:val="24"/>
          <w:szCs w:val="24"/>
          <w:lang w:val="en-US"/>
        </w:rPr>
        <w:t>tate’s aviation industry, the competent authority may estimate:</w:t>
      </w:r>
    </w:p>
    <w:p w14:paraId="35F81CB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standard working time required for processing applications for new certificates;</w:t>
      </w:r>
    </w:p>
    <w:p w14:paraId="0A71A4A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number of new certificates to be issued for each planning period; and</w:t>
      </w:r>
    </w:p>
    <w:p w14:paraId="44C6087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number of changes to existing certificates to be processed for each planning period.</w:t>
      </w:r>
    </w:p>
    <w:p w14:paraId="7C3F6B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In line with the competent authority’s oversight policy, the following planning data should be determined:</w:t>
      </w:r>
    </w:p>
    <w:p w14:paraId="28078A9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standard number of audits to be performed per oversight planning cycle;</w:t>
      </w:r>
    </w:p>
    <w:p w14:paraId="445D4DD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standard duration of each audit;</w:t>
      </w:r>
    </w:p>
    <w:p w14:paraId="4A7F789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standard working time for audit preparation, on-site audit, reporting, and follow-up per inspector;</w:t>
      </w:r>
    </w:p>
    <w:p w14:paraId="1742D42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standard number of unannounced inspections to be performed;</w:t>
      </w:r>
    </w:p>
    <w:p w14:paraId="79D1FA6A" w14:textId="5C7197A8"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standard duration of inspections, including preparation, reporting, and follow-up per inspector; and</w:t>
      </w:r>
    </w:p>
    <w:p w14:paraId="0780A65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the minimum number and the required qualifications of the inspectors for each audit/inspection.</w:t>
      </w:r>
    </w:p>
    <w:p w14:paraId="6D7994B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The standard working time could be expressed either in working hours per inspector, or in working days per inspector. All planning calculations should then be based on the same unit (hours or working days).</w:t>
      </w:r>
    </w:p>
    <w:p w14:paraId="6C4A42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It is recommended to use a spreadsheet application to process the data defined under (c) and (d), to assist in determining the total number of working hours/days per oversight planning cycle required for certification, oversight and enforcement activities. This application could also serve as a basis for implementing a system for planning the availability of personnel.</w:t>
      </w:r>
    </w:p>
    <w:p w14:paraId="77EB364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(g)   The number of working hours/days per planning period for each qualified inspector that may be allocated for certification, oversight and enforcement activities should be determined, taking into account:</w:t>
      </w:r>
    </w:p>
    <w:p w14:paraId="158D9A7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purely administrative tasks that are not directly related to certification and oversight;</w:t>
      </w:r>
    </w:p>
    <w:p w14:paraId="746B468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training;</w:t>
      </w:r>
    </w:p>
    <w:p w14:paraId="527E9D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participation in other projects;</w:t>
      </w:r>
    </w:p>
    <w:p w14:paraId="5E6AA23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planned absence; and</w:t>
      </w:r>
    </w:p>
    <w:p w14:paraId="3BDEBBC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need to include a reserve for unplanned tasks or unforeseeable events.</w:t>
      </w:r>
    </w:p>
    <w:p w14:paraId="6AD59A6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(h)   The determination of the working time available for certification, oversight and enforcement activities should also consider, as applicable:</w:t>
      </w:r>
    </w:p>
    <w:p w14:paraId="1F92341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use of qualified entities;</w:t>
      </w:r>
    </w:p>
    <w:p w14:paraId="46E55728" w14:textId="32FDE098"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cooperation with other competent authorities for approvals that involve more than one</w:t>
      </w:r>
      <w:r w:rsidR="00BD75FF">
        <w:rPr>
          <w:rFonts w:ascii="Times New Roman" w:hAnsi="Times New Roman" w:cs="Times New Roman"/>
          <w:sz w:val="24"/>
          <w:szCs w:val="24"/>
          <w:lang w:val="en-US"/>
        </w:rPr>
        <w:t xml:space="preserve"> s</w:t>
      </w:r>
      <w:r w:rsidRPr="00AD3643">
        <w:rPr>
          <w:rFonts w:ascii="Times New Roman" w:hAnsi="Times New Roman" w:cs="Times New Roman"/>
          <w:sz w:val="24"/>
          <w:szCs w:val="24"/>
          <w:lang w:val="en-US"/>
        </w:rPr>
        <w:t>tate;</w:t>
      </w:r>
    </w:p>
    <w:p w14:paraId="674D7C9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oversight activities under a bilateral aviation safety agreement.</w:t>
      </w:r>
    </w:p>
    <w:p w14:paraId="0A872605" w14:textId="1E66B278" w:rsidR="00E52167" w:rsidRPr="00AD3643" w:rsidRDefault="00A05385" w:rsidP="00C95D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52167" w:rsidRPr="00AD3643">
        <w:rPr>
          <w:rFonts w:ascii="Times New Roman" w:hAnsi="Times New Roman" w:cs="Times New Roman"/>
          <w:sz w:val="24"/>
          <w:szCs w:val="24"/>
          <w:lang w:val="en-US"/>
        </w:rPr>
        <w:t>(i)   Based on the elements listed above, the competent authority should be able to:</w:t>
      </w:r>
    </w:p>
    <w:p w14:paraId="7DCA3D6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monitor the dates when audits and inspections are due, and when they were carried out;</w:t>
      </w:r>
    </w:p>
    <w:p w14:paraId="52A232A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implement a system to plan the availability of personnel; and</w:t>
      </w:r>
    </w:p>
    <w:p w14:paraId="337DAD9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(3)   identify possible gaps between the number and the qualifications of personnel and the required volume of certification and oversight. Care should be taken to keep planning data up to date in line with changes in the underlying planning assumptions, with particular focus on risk-based oversight principles.</w:t>
      </w:r>
    </w:p>
    <w:p w14:paraId="77798F42"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38" w:name="toc_sec_0165"/>
      <w:bookmarkStart w:id="339" w:name="_Toc241066177"/>
      <w:r w:rsidRPr="00AD3643">
        <w:rPr>
          <w:rFonts w:ascii="Times New Roman" w:hAnsi="Times New Roman" w:cs="Times New Roman"/>
          <w:sz w:val="24"/>
          <w:szCs w:val="24"/>
          <w:lang w:val="en-US"/>
        </w:rPr>
        <w:t>AMC1 145.B.200(a)(3) Management system</w:t>
      </w:r>
      <w:bookmarkEnd w:id="338"/>
      <w:bookmarkEnd w:id="339"/>
    </w:p>
    <w:p w14:paraId="175A84C9"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QUALIFICATION AND TRAINING — GENERAL</w:t>
      </w:r>
    </w:p>
    <w:p w14:paraId="06A4DF2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It is essential for the competent authority to have the full capability to adequately assess the compliance and performance of an organisation by ensuring that the whole range of activities is assessed by appropriately qualified personnel.</w:t>
      </w:r>
    </w:p>
    <w:p w14:paraId="7E117D4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For each inspector, the competent authority should:</w:t>
      </w:r>
    </w:p>
    <w:p w14:paraId="7FFF3F9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define the competencies required to perform the allocated certification and oversight tasks;</w:t>
      </w:r>
    </w:p>
    <w:p w14:paraId="7E3866F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define the associated minimum qualifications that are required;</w:t>
      </w:r>
    </w:p>
    <w:p w14:paraId="54D1FD9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establish initial and recurrent training programmes in order to maintain and to enhance the competency of inspectors at the level that is necessary to perform the allocated tasks; and</w:t>
      </w:r>
    </w:p>
    <w:p w14:paraId="16FAAC8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ensure that the training provided meets the established standards, and is regularly reviewed and updated whenever necessary.</w:t>
      </w:r>
    </w:p>
    <w:p w14:paraId="29B977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competent authority should ensure that training is provided by qualified trainers with appropriate training skills.</w:t>
      </w:r>
    </w:p>
    <w:p w14:paraId="4B2F4B5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40" w:name="toc_sec_0166"/>
      <w:bookmarkStart w:id="341" w:name="_Toc241066178"/>
      <w:r w:rsidRPr="00AD3643">
        <w:rPr>
          <w:rFonts w:ascii="Times New Roman" w:hAnsi="Times New Roman" w:cs="Times New Roman"/>
          <w:sz w:val="24"/>
          <w:szCs w:val="24"/>
          <w:lang w:val="en-US"/>
        </w:rPr>
        <w:t>AMC2 145.B.200(a)(3) Management system</w:t>
      </w:r>
      <w:bookmarkEnd w:id="340"/>
      <w:bookmarkEnd w:id="341"/>
    </w:p>
    <w:p w14:paraId="4ACE0BAE"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QUALIFICATION AND TRAINING — INSPECTORS</w:t>
      </w:r>
    </w:p>
    <w:p w14:paraId="5DA301E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Competent authority inspectors should have:</w:t>
      </w:r>
    </w:p>
    <w:p w14:paraId="518DDAA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practical experience and expertise in the application of aviation safety standards and safe operating practices;</w:t>
      </w:r>
    </w:p>
    <w:p w14:paraId="4A09442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comprehensive knowledge of:</w:t>
      </w:r>
    </w:p>
    <w:p w14:paraId="60887B0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relevant parts of the implementing rules, certification specifications and guidance material;</w:t>
      </w:r>
    </w:p>
    <w:p w14:paraId="6EE5E80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the competent authority’s procedures;</w:t>
      </w:r>
    </w:p>
    <w:p w14:paraId="050459B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the rights and obligations of an inspector;</w:t>
      </w:r>
    </w:p>
    <w:p w14:paraId="12F2D2C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(iv)    safety management systems based on the EU management system requirements and ICAO Annex 19, and compliance monitoring;</w:t>
      </w:r>
    </w:p>
    <w:p w14:paraId="088C8AC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     continuing airworthiness management and maintenance;</w:t>
      </w:r>
    </w:p>
    <w:p w14:paraId="23702A4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(vi)    operational procedures that affect the continuing airworthiness management of the aircraft or its maintenance;</w:t>
      </w:r>
    </w:p>
    <w:p w14:paraId="2111A7B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(vii)   maintenance-related human factors and human performance principles;</w:t>
      </w:r>
    </w:p>
    <w:p w14:paraId="3D5B5EA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training on auditing techniques and assessing and evaluating management systems and safety risk management processes;</w:t>
      </w:r>
    </w:p>
    <w:p w14:paraId="754C458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5 years of relevant work experience for them to be allowed to work independently as</w:t>
      </w:r>
    </w:p>
    <w:p w14:paraId="0A15143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inspectors. This may include experience gained during training to obtain the qualifications mentioned below in point (a)(5);</w:t>
      </w:r>
    </w:p>
    <w:p w14:paraId="65B5E56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(5)   a relevant engineering degree or an aircraft maintenance technician qualification with additional education. ‘Relevant engineering degree’ refers to an engineering degree from </w:t>
      </w:r>
      <w:r w:rsidRPr="00AD3643">
        <w:rPr>
          <w:rFonts w:ascii="Times New Roman" w:hAnsi="Times New Roman" w:cs="Times New Roman"/>
          <w:sz w:val="24"/>
          <w:szCs w:val="24"/>
          <w:lang w:val="en-US"/>
        </w:rPr>
        <w:lastRenderedPageBreak/>
        <w:t>aeronautical, mechanical, electrical, electronic, avionics or other studies that are relevant to the maintenance and continuing airworthiness of aircraft/aircraft components;</w:t>
      </w:r>
    </w:p>
    <w:p w14:paraId="0E2DEB8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knowledge of a relevant sample of the type(s) of aircraft or components, gained through a formalised training course. Aircraft/engine type training courses should be at least at a level equivalent to a Part-66 Appendix III Level 1 General Familiarisation. ‘Relevant sample’ refers to courses that cover the typical aircraft or components that are within the scope of work;</w:t>
      </w:r>
    </w:p>
    <w:p w14:paraId="12B11E0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knowledge of maintenance standards, including fuel tank safety (FTS) training as described in Appendix IV to AMC5 145.A.30(e) and AMC2 145.B.200(a)(3).</w:t>
      </w:r>
    </w:p>
    <w:p w14:paraId="2FD94AF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In addition to technical competency, inspectors should have a high degree of integrity, be impartial in carrying out their tasks, be tactful, and have a good understanding of human nature.</w:t>
      </w:r>
    </w:p>
    <w:p w14:paraId="3E1E5C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 programme for recurrent training should be developed that ensures that the inspectors remain competent to perform their allocated tasks. As a general policy, it is not desirable for the inspectors to obtain technical qualifications from those entities that are under their direct regulatory oversight.</w:t>
      </w:r>
    </w:p>
    <w:p w14:paraId="2DD406A5"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42" w:name="toc_sec_0167"/>
      <w:bookmarkStart w:id="343" w:name="_Toc241066179"/>
      <w:r w:rsidRPr="00AD3643">
        <w:rPr>
          <w:rFonts w:ascii="Times New Roman" w:hAnsi="Times New Roman" w:cs="Times New Roman"/>
          <w:sz w:val="24"/>
          <w:szCs w:val="24"/>
          <w:lang w:val="en-US"/>
        </w:rPr>
        <w:t>AMC3 145.B.200(a)(3) Management system</w:t>
      </w:r>
      <w:bookmarkEnd w:id="342"/>
      <w:bookmarkEnd w:id="343"/>
    </w:p>
    <w:p w14:paraId="0892B27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INITIAL AND RECURRENT TRAINING — INSPECTORS</w:t>
      </w:r>
    </w:p>
    <w:p w14:paraId="7ED4C84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Initial training programme The initial training programme for inspectors should include, to an extent appropriate to their role, current knowledge, experience and skills, at least all of the following:</w:t>
      </w:r>
    </w:p>
    <w:p w14:paraId="4415531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aviation legislation, organisation, and structure;</w:t>
      </w:r>
    </w:p>
    <w:p w14:paraId="0120A16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Chicago Convention, the relevant ICAO Annexes and Documents;</w:t>
      </w:r>
    </w:p>
    <w:p w14:paraId="5BDC80F2" w14:textId="10FED40F"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(3)   </w:t>
      </w:r>
      <w:r w:rsidR="003D5115">
        <w:rPr>
          <w:rFonts w:ascii="Times New Roman" w:hAnsi="Times New Roman" w:cs="Times New Roman"/>
          <w:sz w:val="24"/>
          <w:szCs w:val="24"/>
          <w:lang w:val="en-US"/>
        </w:rPr>
        <w:t>RAC-RAASEAC</w:t>
      </w:r>
      <w:r w:rsidRPr="00AD3643">
        <w:rPr>
          <w:rFonts w:ascii="Times New Roman" w:hAnsi="Times New Roman" w:cs="Times New Roman"/>
          <w:sz w:val="24"/>
          <w:szCs w:val="24"/>
          <w:lang w:val="en-US"/>
        </w:rPr>
        <w:t xml:space="preserve"> on the reporting, analysis and follow-up of occurrences in civil aviation;</w:t>
      </w:r>
    </w:p>
    <w:p w14:paraId="354BBB47" w14:textId="6F279F2D"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(4)   overview of </w:t>
      </w:r>
      <w:r w:rsidR="00770CF3">
        <w:rPr>
          <w:rFonts w:ascii="Times New Roman" w:hAnsi="Times New Roman" w:cs="Times New Roman"/>
          <w:sz w:val="24"/>
          <w:szCs w:val="24"/>
          <w:lang w:val="en-US"/>
        </w:rPr>
        <w:t>Aviation Code</w:t>
      </w:r>
      <w:r w:rsidRPr="00AD3643">
        <w:rPr>
          <w:rFonts w:ascii="Times New Roman" w:hAnsi="Times New Roman" w:cs="Times New Roman"/>
          <w:sz w:val="24"/>
          <w:szCs w:val="24"/>
          <w:lang w:val="en-US"/>
        </w:rPr>
        <w:t xml:space="preserve"> and its delegated and implementing acts and the related AMC, CS, and GM;</w:t>
      </w:r>
    </w:p>
    <w:p w14:paraId="355C5F4C" w14:textId="2FE51791"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(5)   </w:t>
      </w:r>
      <w:r w:rsidR="00A05385">
        <w:rPr>
          <w:rFonts w:ascii="Times New Roman" w:hAnsi="Times New Roman" w:cs="Times New Roman"/>
          <w:sz w:val="24"/>
          <w:szCs w:val="24"/>
          <w:lang w:val="en-US"/>
        </w:rPr>
        <w:t>GD 465/2025</w:t>
      </w:r>
      <w:r w:rsidRPr="00AD3643">
        <w:rPr>
          <w:rFonts w:ascii="Times New Roman" w:hAnsi="Times New Roman" w:cs="Times New Roman"/>
          <w:sz w:val="24"/>
          <w:szCs w:val="24"/>
          <w:lang w:val="en-US"/>
        </w:rPr>
        <w:t xml:space="preserve"> as well as any other applicable requirements;</w:t>
      </w:r>
    </w:p>
    <w:p w14:paraId="33C0AB8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management systems, including the assessment of the effectiveness of a management system, in particular hazard identification and risk assessment, and non-punitive reporting techniques in the context of the implementation of a ‘just culture’;</w:t>
      </w:r>
    </w:p>
    <w:p w14:paraId="6C5026A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auditing techniques;</w:t>
      </w:r>
    </w:p>
    <w:p w14:paraId="59E86D4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procedures of the competent authority that are relevant to the inspectors’ tasks;</w:t>
      </w:r>
    </w:p>
    <w:p w14:paraId="44B5054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(9)   human factors principles;</w:t>
      </w:r>
    </w:p>
    <w:p w14:paraId="6F97348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(10) the rights and obligations of inspecting personnel of the competent authority;</w:t>
      </w:r>
    </w:p>
    <w:p w14:paraId="16C6F57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(11) on-the-job training that is relevant to the inspector’s tasks;</w:t>
      </w:r>
    </w:p>
    <w:p w14:paraId="69C28DC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(12) technical training that is appropriate to the role and tasks of the inspector, in particular for those areas that require approvals. NOTE: The duration of the on-the-job training should take into account the scope and complexity of the inspector’s tasks. The competent authority should assess whether the required competency has been achieved before an inspector is authorised to perform a task without supervision.</w:t>
      </w:r>
    </w:p>
    <w:p w14:paraId="67C6A93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Recurrent training programme Once qualified, the inspector should undergo training periodically, as well as whenever deemed necessary by the competent authority, in order to remain competent to perform the allocated</w:t>
      </w:r>
    </w:p>
    <w:p w14:paraId="4B56A89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tasks. The recurrent training programme for inspectors should include, as appropriate to their role, at least the following topics:</w:t>
      </w:r>
    </w:p>
    <w:p w14:paraId="568E0A6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changes in aviation legislation, the operational environment and technologies;</w:t>
      </w:r>
    </w:p>
    <w:p w14:paraId="223327E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(2)   procedures of the competent authority that are relevant to the inspector’s tasks;</w:t>
      </w:r>
    </w:p>
    <w:p w14:paraId="1F8EB21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technical training that is appropriate to the role and tasks of the inspector; and</w:t>
      </w:r>
    </w:p>
    <w:p w14:paraId="405403A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results from past oversight.</w:t>
      </w:r>
    </w:p>
    <w:p w14:paraId="721C5CC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Assessments of an inspector’s competency should take place at regular intervals that do not exceed 3 years. The results of these assessments, as well as any actions taken following the assessments, should be recorded.</w:t>
      </w:r>
    </w:p>
    <w:p w14:paraId="452032F5"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44" w:name="toc_sec_0168"/>
      <w:bookmarkStart w:id="345" w:name="_Toc241066180"/>
      <w:r w:rsidRPr="00AD3643">
        <w:rPr>
          <w:rFonts w:ascii="Times New Roman" w:hAnsi="Times New Roman" w:cs="Times New Roman"/>
          <w:sz w:val="24"/>
          <w:szCs w:val="24"/>
          <w:lang w:val="en-US"/>
        </w:rPr>
        <w:t>AMC1 145.B.200(a)(5) Management system</w:t>
      </w:r>
      <w:bookmarkEnd w:id="344"/>
      <w:bookmarkEnd w:id="345"/>
    </w:p>
    <w:p w14:paraId="2FB18E4C"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RISK MANAGEMENT PROCESS</w:t>
      </w:r>
    </w:p>
    <w:p w14:paraId="49ACD6B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safety risk management process required by point (a)(5) of point 145.B.200 should be</w:t>
      </w:r>
    </w:p>
    <w:p w14:paraId="06B72EC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documented. The following should be defined in the related documentation:</w:t>
      </w:r>
    </w:p>
    <w:p w14:paraId="3C89AC5B" w14:textId="01390F4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means for hazard identification, and the related data sources, taking into account data that comes from other competent authorities with which the competent authority interfaces in the tate, or from the competent authorities of other </w:t>
      </w:r>
      <w:r w:rsidR="00FB7D7D">
        <w:rPr>
          <w:rFonts w:ascii="Times New Roman" w:hAnsi="Times New Roman" w:cs="Times New Roman"/>
          <w:sz w:val="24"/>
          <w:szCs w:val="24"/>
          <w:lang w:val="en-US"/>
        </w:rPr>
        <w:t>s</w:t>
      </w:r>
      <w:r w:rsidRPr="00AD3643">
        <w:rPr>
          <w:rFonts w:ascii="Times New Roman" w:hAnsi="Times New Roman" w:cs="Times New Roman"/>
          <w:sz w:val="24"/>
          <w:szCs w:val="24"/>
          <w:lang w:val="en-US"/>
        </w:rPr>
        <w:t>tates;</w:t>
      </w:r>
    </w:p>
    <w:p w14:paraId="08A5FDC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risk management steps including:</w:t>
      </w:r>
    </w:p>
    <w:p w14:paraId="630538D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analysis (in terms of the probability and the severity of the consequences of hazards and occurrences);</w:t>
      </w:r>
    </w:p>
    <w:p w14:paraId="5A61AA5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assessment (in terms of tolerability); and</w:t>
      </w:r>
    </w:p>
    <w:p w14:paraId="6FD1254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control (in terms of mitigation) of risks to an acceptable level;</w:t>
      </w:r>
    </w:p>
    <w:p w14:paraId="458FBB7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who holds the responsibilities for hazard identification and risk management;</w:t>
      </w:r>
    </w:p>
    <w:p w14:paraId="361746D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who holds the responsibility for the follow-up of risk mitigation actions;</w:t>
      </w:r>
    </w:p>
    <w:p w14:paraId="1F577A4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levels of management who have the authority to make decisions regarding the tolerability of risks;</w:t>
      </w:r>
    </w:p>
    <w:p w14:paraId="79FAB5E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means to assess the effectiveness of risk mitigation actions; and</w:t>
      </w:r>
    </w:p>
    <w:p w14:paraId="222257E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the link with the compliance monitoring function.</w:t>
      </w:r>
    </w:p>
    <w:p w14:paraId="1A924CA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To demonstrate that the safety risk management process is operational, competent authorities should be able to provide evidence that:</w:t>
      </w:r>
    </w:p>
    <w:p w14:paraId="7993441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persons involved in internal safety risk management activities are properly trained;</w:t>
      </w:r>
    </w:p>
    <w:p w14:paraId="21A7DA4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hazards that could impact the authority’s capabilities to perform its tasks and discharge its responsibilities have been identified and the related risk assessment is documented;</w:t>
      </w:r>
    </w:p>
    <w:p w14:paraId="3F6DD15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regular meetings take place at appropriate levels of management of the competent authority to discuss the risks identified, and to decide on the tolerability of risks and possible risk mitigations;</w:t>
      </w:r>
    </w:p>
    <w:p w14:paraId="7305315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in addition to the initial hazard identification exercise, the risk management process is triggered as a minimum whenever changes occur that may affect the competent authority’s capability to perform any of the tasks required by Part-145;</w:t>
      </w:r>
    </w:p>
    <w:p w14:paraId="29422FD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a record of the actions taken to mitigate risks is maintained, showing the status of each action and the owner of the action;</w:t>
      </w:r>
    </w:p>
    <w:p w14:paraId="6B33351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there is a follow-up on the implementation of all risk mitigation actions;</w:t>
      </w:r>
    </w:p>
    <w:p w14:paraId="268853E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risk mitigation actions are assessed for their effectiveness;</w:t>
      </w:r>
    </w:p>
    <w:p w14:paraId="57068BE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(8)    the results of risk assessments are periodically reviewed to check whether they remain</w:t>
      </w:r>
    </w:p>
    <w:p w14:paraId="3132A48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relevant. (Are the assumptions still valid? Is there any new information?).</w:t>
      </w:r>
    </w:p>
    <w:p w14:paraId="7EDE363D"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46" w:name="toc_sec_0169"/>
      <w:bookmarkStart w:id="347" w:name="_Toc241066181"/>
      <w:r w:rsidRPr="00AD3643">
        <w:rPr>
          <w:rFonts w:ascii="Times New Roman" w:hAnsi="Times New Roman" w:cs="Times New Roman"/>
          <w:sz w:val="24"/>
          <w:szCs w:val="24"/>
          <w:lang w:val="en-US"/>
        </w:rPr>
        <w:lastRenderedPageBreak/>
        <w:t>GM1 145.B.200(a)(5) Management system</w:t>
      </w:r>
      <w:bookmarkEnd w:id="346"/>
      <w:bookmarkEnd w:id="347"/>
    </w:p>
    <w:p w14:paraId="2F1F239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SAFETY RISK MANAGEMENT PROCESS</w:t>
      </w:r>
    </w:p>
    <w:p w14:paraId="58A5C1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purpose of safety risk management as part of the management system framework for competent</w:t>
      </w:r>
    </w:p>
    <w:p w14:paraId="6A07F2A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authorities is to ensure the effectiveness of the management system. As for any organisation, hazard</w:t>
      </w:r>
    </w:p>
    <w:p w14:paraId="342EB9FF" w14:textId="1BC7EDB2"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identification and risk management are expected to contribute to effective decision-making, to </w:t>
      </w:r>
      <w:r w:rsidR="00067B9D">
        <w:rPr>
          <w:rFonts w:ascii="Times New Roman" w:hAnsi="Times New Roman" w:cs="Times New Roman"/>
          <w:sz w:val="24"/>
          <w:szCs w:val="24"/>
          <w:lang w:val="en-US"/>
        </w:rPr>
        <w:t>g</w:t>
      </w:r>
      <w:r w:rsidRPr="00AD3643">
        <w:rPr>
          <w:rFonts w:ascii="Times New Roman" w:hAnsi="Times New Roman" w:cs="Times New Roman"/>
          <w:sz w:val="24"/>
          <w:szCs w:val="24"/>
          <w:lang w:val="en-US"/>
        </w:rPr>
        <w:t>uide</w:t>
      </w:r>
      <w:r w:rsidR="00067B9D">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the allocation of resources and contribute to organisational success.</w:t>
      </w:r>
    </w:p>
    <w:p w14:paraId="7FA2499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safety risk management process required by point 145.B.200 is intended to address the safety</w:t>
      </w:r>
    </w:p>
    <w:p w14:paraId="43971106" w14:textId="199DED3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risks that are directly related to the competent authority’s organisation and processes, and which may</w:t>
      </w:r>
      <w:r w:rsidR="00067B9D">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affect its capability to perform its tasks and discharge its responsibilities. This process is not intended</w:t>
      </w:r>
      <w:r w:rsidR="00067B9D">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to be a substitute for the State safety risk management SARPs defined in ICAO Annex 19, Chapter 3,component 3.3. This does not mean, however, that the competent authority may not use informationand data that is obtained through its State Safety Programme (SSP), including oversight data andinformation, for the purposes of safety risk management as part of its management system.</w:t>
      </w:r>
    </w:p>
    <w:p w14:paraId="422E650F" w14:textId="3236A66B"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safety risk management process is also to be applied to the management of changes (145.B.210),which is intended to ensure that the management system remains effective whenever changes occur.</w:t>
      </w:r>
    </w:p>
    <w:p w14:paraId="3C45ED3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48" w:name="toc_sec_0170"/>
      <w:bookmarkStart w:id="349" w:name="_Toc241066182"/>
      <w:r w:rsidRPr="00AD3643">
        <w:rPr>
          <w:rFonts w:ascii="Times New Roman" w:hAnsi="Times New Roman" w:cs="Times New Roman"/>
          <w:sz w:val="24"/>
          <w:szCs w:val="24"/>
          <w:lang w:val="en-US"/>
        </w:rPr>
        <w:t>AMC1 145.B.200(d) Management system</w:t>
      </w:r>
      <w:bookmarkEnd w:id="348"/>
      <w:bookmarkEnd w:id="349"/>
    </w:p>
    <w:p w14:paraId="57D808B4" w14:textId="724ADF14"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 xml:space="preserve">PROCEDURES AVAILABLE TO </w:t>
      </w:r>
      <w:r w:rsidR="00C95D06">
        <w:rPr>
          <w:rFonts w:cs="Times New Roman"/>
          <w:sz w:val="24"/>
          <w:szCs w:val="24"/>
        </w:rPr>
        <w:t>CAA</w:t>
      </w:r>
    </w:p>
    <w:p w14:paraId="15D2C439" w14:textId="0EB2B571"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Copies of the procedures related to the management system, and their amendments, that should be made available for the purpose of standardisation, should provide at least the following information:</w:t>
      </w:r>
    </w:p>
    <w:p w14:paraId="51BE8896" w14:textId="4276B58C"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(1)   the competent authority’s organisational structure for the continuing oversight functions that it undertakes, with a description of the main processes. This information should demonstrate the allocation of responsibilities within the competent authority, and that the competent authority is capable of carrying out the full range of tasks for the size and complexity of the </w:t>
      </w:r>
      <w:r w:rsidR="007A13EF">
        <w:rPr>
          <w:rFonts w:ascii="Times New Roman" w:hAnsi="Times New Roman" w:cs="Times New Roman"/>
          <w:sz w:val="24"/>
          <w:szCs w:val="24"/>
          <w:lang w:val="en-US"/>
        </w:rPr>
        <w:t>s</w:t>
      </w:r>
      <w:r w:rsidRPr="00AD3643">
        <w:rPr>
          <w:rFonts w:ascii="Times New Roman" w:hAnsi="Times New Roman" w:cs="Times New Roman"/>
          <w:sz w:val="24"/>
          <w:szCs w:val="24"/>
          <w:lang w:val="en-US"/>
        </w:rPr>
        <w:t>tate’s aviation industry. It should also consider the overall proficiency and the scope of authorisation of the competent authority’s personnel;</w:t>
      </w:r>
    </w:p>
    <w:p w14:paraId="158AC01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for personnel who are involved in oversight activities, the minimum required professional qualifications and amount of experience, and the principles that are used to guide their appointment (e.g. assessment);</w:t>
      </w:r>
    </w:p>
    <w:p w14:paraId="06F7941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how the following are carried out: assessments of applications and evaluations of compliance, the issuing of certificates, continuing oversight activities, the follow-up of findings, enforcement measures and the resolution of safety concerns;</w:t>
      </w:r>
    </w:p>
    <w:p w14:paraId="62F8DB2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principles used for the management of exemptions and derogations;</w:t>
      </w:r>
    </w:p>
    <w:p w14:paraId="7FFBFB6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processes that are in place to distribute the applicable safety information to enable a timely reaction to a safety problem;</w:t>
      </w:r>
    </w:p>
    <w:p w14:paraId="00E8538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the criteria for planning continuing oversight activities (i.e. an oversight programme), including the management of interfaces when conducting continuing oversight activities (of air operations and of continuing airworthiness management, for example);</w:t>
      </w:r>
    </w:p>
    <w:p w14:paraId="6BD9CD1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an outline of the initial training of newly recruited oversight personnel (taking future activities into account), and the basic framework for the recurrent training of oversight personnel.</w:t>
      </w:r>
    </w:p>
    <w:p w14:paraId="1D9DE425" w14:textId="5F5DC9AA"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(b)   As part of the continuous monitoring details of the working methods used, in addition to a copy of the procedures of the management system (and any amendments). These additional details are the procedures and the related guidance material that describes the working methods for the personnel of the competent authority who conduct oversight activities.</w:t>
      </w:r>
    </w:p>
    <w:p w14:paraId="28F3BB7B" w14:textId="62659A96" w:rsidR="00E52167" w:rsidRPr="00AD3643" w:rsidRDefault="00E52167" w:rsidP="00C95D06">
      <w:pPr>
        <w:pStyle w:val="Heading2"/>
        <w:spacing w:after="0"/>
        <w:jc w:val="both"/>
        <w:rPr>
          <w:rFonts w:ascii="Times New Roman" w:hAnsi="Times New Roman" w:cs="Times New Roman"/>
          <w:sz w:val="24"/>
          <w:szCs w:val="24"/>
          <w:lang w:val="en-US"/>
        </w:rPr>
      </w:pPr>
      <w:bookmarkStart w:id="350" w:name="_Toc241066183"/>
      <w:bookmarkStart w:id="351" w:name="toc_sec_0172"/>
      <w:r w:rsidRPr="00AD3643">
        <w:rPr>
          <w:rFonts w:ascii="Times New Roman" w:hAnsi="Times New Roman" w:cs="Times New Roman"/>
          <w:sz w:val="24"/>
          <w:szCs w:val="24"/>
          <w:lang w:val="en-US"/>
        </w:rPr>
        <w:t>GM1 145.B.205 Allocation of tasks</w:t>
      </w:r>
      <w:bookmarkEnd w:id="350"/>
      <w:r w:rsidRPr="00AD3643">
        <w:rPr>
          <w:rFonts w:ascii="Times New Roman" w:hAnsi="Times New Roman" w:cs="Times New Roman"/>
          <w:sz w:val="24"/>
          <w:szCs w:val="24"/>
          <w:lang w:val="en-US"/>
        </w:rPr>
        <w:t xml:space="preserve"> </w:t>
      </w:r>
      <w:bookmarkEnd w:id="351"/>
    </w:p>
    <w:p w14:paraId="296C298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CERTIFICATION TASKS</w:t>
      </w:r>
    </w:p>
    <w:p w14:paraId="3581598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tasks that may be performed by a qualified entity on behalf of the competent authority include</w:t>
      </w:r>
    </w:p>
    <w:p w14:paraId="3E54B98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those that are related to the initial certification and to the continuing oversight of organisations as</w:t>
      </w:r>
    </w:p>
    <w:p w14:paraId="535E6B4D" w14:textId="102496E5"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defined in </w:t>
      </w:r>
      <w:r w:rsidR="008049B1">
        <w:rPr>
          <w:rFonts w:ascii="Times New Roman" w:hAnsi="Times New Roman" w:cs="Times New Roman"/>
          <w:sz w:val="24"/>
          <w:szCs w:val="24"/>
          <w:lang w:val="en-US"/>
        </w:rPr>
        <w:t>GD 465/2025</w:t>
      </w:r>
      <w:r w:rsidRPr="00AD3643">
        <w:rPr>
          <w:rFonts w:ascii="Times New Roman" w:hAnsi="Times New Roman" w:cs="Times New Roman"/>
          <w:sz w:val="24"/>
          <w:szCs w:val="24"/>
          <w:lang w:val="en-US"/>
        </w:rPr>
        <w:t>.</w:t>
      </w:r>
    </w:p>
    <w:p w14:paraId="68473B18"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52" w:name="toc_sec_0173"/>
      <w:bookmarkStart w:id="353" w:name="_Toc241066184"/>
      <w:r w:rsidRPr="00AD3643">
        <w:rPr>
          <w:rFonts w:ascii="Times New Roman" w:hAnsi="Times New Roman" w:cs="Times New Roman"/>
          <w:sz w:val="24"/>
          <w:szCs w:val="24"/>
          <w:lang w:val="en-US"/>
        </w:rPr>
        <w:t>AMC1 145.B.220(a) Record-keeping</w:t>
      </w:r>
      <w:bookmarkEnd w:id="352"/>
      <w:bookmarkEnd w:id="353"/>
    </w:p>
    <w:p w14:paraId="5CF6F77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record-keeping system should ensure that all records are accessible within a reasonable time whenever they are needed. These records should be organised in a manner that ensures their traceability and retrievability throughout the required retention period.</w:t>
      </w:r>
    </w:p>
    <w:p w14:paraId="097FC4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All records that contain sensitive data regarding applicants or organisations should be stored in a secure manner with controlled access to ensure their confidentiality.</w:t>
      </w:r>
    </w:p>
    <w:p w14:paraId="05ACE3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Records should be kept in paper form, or in an electronic format, or a combination of the two. Records that are stored on microfilm or optical discs are also acceptable. The records should remain legible and accessible throughout the required retention period. The retention period starts when the record is created.</w:t>
      </w:r>
    </w:p>
    <w:p w14:paraId="54A0A43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Paper systems should use robust material which can withstand normal handling and filing. Computer record systems should have at least one backup system, which should be updated within 24 hours of any new entry. Computer record systems should include safeguards to prevent any unauthorised personnel from altering the data.</w:t>
      </w:r>
    </w:p>
    <w:p w14:paraId="31C83EA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All computer hardware that is used to ensure the backup of data should be stored in a different location from the one that contains the working data, and in an environment that ensures that the data remains in a good condition. When hardware or software changes take place, special care should be taken to ensure that all the necessary data continues to be accessible throughout at least the full period specified in point 145.B.220(c).</w:t>
      </w:r>
    </w:p>
    <w:p w14:paraId="6A184563"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54" w:name="toc_sec_0174"/>
      <w:bookmarkStart w:id="355" w:name="_Toc241066185"/>
      <w:r w:rsidRPr="00AD3643">
        <w:rPr>
          <w:rFonts w:ascii="Times New Roman" w:hAnsi="Times New Roman" w:cs="Times New Roman"/>
          <w:sz w:val="24"/>
          <w:szCs w:val="24"/>
          <w:lang w:val="en-US"/>
        </w:rPr>
        <w:t>AMC1 145.B.220(a)(1) Record-keeping</w:t>
      </w:r>
      <w:bookmarkEnd w:id="354"/>
      <w:bookmarkEnd w:id="355"/>
    </w:p>
    <w:p w14:paraId="46162F4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COMPETENT AUTHORITY MANAGEMENT SYSTEM</w:t>
      </w:r>
    </w:p>
    <w:p w14:paraId="5C20528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Records that are related to the competent authority’s management system should include, as a</w:t>
      </w:r>
    </w:p>
    <w:p w14:paraId="5F0A73B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minimum, and as applicable:</w:t>
      </w:r>
    </w:p>
    <w:p w14:paraId="2F06CEB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documented policies and procedures;</w:t>
      </w:r>
    </w:p>
    <w:p w14:paraId="3334E6A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personnel files of the competent authority’s personnel, with the supporting documents related to their training and qualifications;</w:t>
      </w:r>
    </w:p>
    <w:p w14:paraId="0F82241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results of the competent authority’s internal audits and safety risk management processes, including audit findings, and corrective, preventive and risk mitigation actions; and</w:t>
      </w:r>
    </w:p>
    <w:p w14:paraId="0EAE298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the contract(s) established with any qualified entities that perform certification or oversight tasks on behalf of the competent authority.</w:t>
      </w:r>
    </w:p>
    <w:p w14:paraId="4A7C8805"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56" w:name="toc_sec_0175"/>
      <w:bookmarkStart w:id="357" w:name="_Toc241066186"/>
      <w:r w:rsidRPr="00AD3643">
        <w:rPr>
          <w:rFonts w:ascii="Times New Roman" w:hAnsi="Times New Roman" w:cs="Times New Roman"/>
          <w:sz w:val="24"/>
          <w:szCs w:val="24"/>
          <w:lang w:val="en-US"/>
        </w:rPr>
        <w:lastRenderedPageBreak/>
        <w:t>AMC1 145.B.300(a);(b);(c) Oversight principles</w:t>
      </w:r>
      <w:bookmarkEnd w:id="356"/>
      <w:bookmarkEnd w:id="357"/>
    </w:p>
    <w:p w14:paraId="5A0C43E8"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MANAGEMENT SYSTEM ASSESSMENT</w:t>
      </w:r>
    </w:p>
    <w:p w14:paraId="2395FDA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 part of the initial certification of an organisation, the competent authority should assess the</w:t>
      </w:r>
    </w:p>
    <w:p w14:paraId="4C31293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organisation’s management system and processes to make sure that all the required enablers of a</w:t>
      </w:r>
    </w:p>
    <w:p w14:paraId="15060CC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functioning management system are present and suitable.</w:t>
      </w:r>
    </w:p>
    <w:p w14:paraId="2423F45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As part of its continuing oversight activities, the competent authority should verify that the required</w:t>
      </w:r>
    </w:p>
    <w:p w14:paraId="1260CE1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enablers remain present and operational, and assess the effectiveness of the organisation’s</w:t>
      </w:r>
    </w:p>
    <w:p w14:paraId="26CE720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management system and processes.</w:t>
      </w:r>
    </w:p>
    <w:p w14:paraId="58F9B9E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When significant changes take place in the organisation, the competent authority should determine</w:t>
      </w:r>
    </w:p>
    <w:p w14:paraId="7F5CDB2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whether there is a need to review the existing assessment to ensure that it is still valid.</w:t>
      </w:r>
    </w:p>
    <w:p w14:paraId="56577B15"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58" w:name="toc_sec_0176"/>
      <w:bookmarkStart w:id="359" w:name="_Toc241066187"/>
      <w:r w:rsidRPr="00AD3643">
        <w:rPr>
          <w:rFonts w:ascii="Times New Roman" w:hAnsi="Times New Roman" w:cs="Times New Roman"/>
          <w:sz w:val="24"/>
          <w:szCs w:val="24"/>
          <w:lang w:val="en-US"/>
        </w:rPr>
        <w:t>AMC1 145.B.300(f) Oversight principles</w:t>
      </w:r>
      <w:bookmarkEnd w:id="358"/>
      <w:bookmarkEnd w:id="359"/>
    </w:p>
    <w:p w14:paraId="7885BDE3"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INFORMATION DEEMED NECESSARY FOR OVERSIGHT</w:t>
      </w:r>
    </w:p>
    <w:p w14:paraId="3DD2AB9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This information should include, as a minimum:</w:t>
      </w:r>
    </w:p>
    <w:p w14:paraId="560CCE7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any occurrence reports received by the competent authority;</w:t>
      </w:r>
    </w:p>
    <w:p w14:paraId="445A721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reports received following the issuing of any one-off certification authorisations as defined in point 145.A.30(j)(5);</w:t>
      </w:r>
    </w:p>
    <w:p w14:paraId="5CD6DC2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results of the following types of inspections and surveys if they indicate an issue that originates from a Part-145 organisation:</w:t>
      </w:r>
    </w:p>
    <w:p w14:paraId="39C8A62D" w14:textId="202E7789"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(i)     ramp inspections performed in accordance with Subpart RAMP of Annex II (Part-ARO) to </w:t>
      </w:r>
      <w:r w:rsidR="005D30B3">
        <w:rPr>
          <w:rFonts w:ascii="Times New Roman" w:hAnsi="Times New Roman" w:cs="Times New Roman"/>
          <w:sz w:val="24"/>
          <w:szCs w:val="24"/>
          <w:lang w:val="en-US"/>
        </w:rPr>
        <w:t>GD 612/2022</w:t>
      </w:r>
      <w:r w:rsidRPr="00AD3643">
        <w:rPr>
          <w:rFonts w:ascii="Times New Roman" w:hAnsi="Times New Roman" w:cs="Times New Roman"/>
          <w:sz w:val="24"/>
          <w:szCs w:val="24"/>
          <w:lang w:val="en-US"/>
        </w:rPr>
        <w:t xml:space="preserve"> on air operations;</w:t>
      </w:r>
    </w:p>
    <w:p w14:paraId="619BD64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product surveys of aircraft, pursuant to point M.B.303 or point ML.B.303;</w:t>
      </w:r>
    </w:p>
    <w:p w14:paraId="32792C8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product audits conducted pursuant to point CAMO.B.305(b)(1) or point 145.B.305(b)(1); and</w:t>
      </w:r>
    </w:p>
    <w:p w14:paraId="6DAE07B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(iv)    physical surveys or partial airworthiness reviews performed by the competent authority in line with AMC M.B.901.</w:t>
      </w:r>
    </w:p>
    <w:p w14:paraId="486BCF8D"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60" w:name="toc_sec_0177"/>
      <w:bookmarkStart w:id="361" w:name="_Toc241066188"/>
      <w:r w:rsidRPr="00AD3643">
        <w:rPr>
          <w:rFonts w:ascii="Times New Roman" w:hAnsi="Times New Roman" w:cs="Times New Roman"/>
          <w:sz w:val="24"/>
          <w:szCs w:val="24"/>
          <w:lang w:val="en-US"/>
        </w:rPr>
        <w:t>AMC1 145.B.305(a);(b) Oversight programme</w:t>
      </w:r>
      <w:bookmarkEnd w:id="360"/>
      <w:bookmarkEnd w:id="361"/>
    </w:p>
    <w:p w14:paraId="67ABE746"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ANNUAL REVIEW</w:t>
      </w:r>
    </w:p>
    <w:p w14:paraId="48D4625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oversight planning cycle and the related oversight programme for each organisation should be reviewed annually to ensure that they remain adequate regarding any changes in the nature of the organisation, the complexity of its activities or the safety performance of the organisation.</w:t>
      </w:r>
    </w:p>
    <w:p w14:paraId="16CD6B6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When reviewing the oversight planning cycle and the related oversight programme, the competent authority should also consider any relevant information collected in accordance with points 145.A.60 and 145.B.300(f).</w:t>
      </w:r>
    </w:p>
    <w:p w14:paraId="619D8F40"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62" w:name="toc_sec_0178"/>
      <w:bookmarkStart w:id="363" w:name="_Toc241066189"/>
      <w:r w:rsidRPr="00AD3643">
        <w:rPr>
          <w:rFonts w:ascii="Times New Roman" w:hAnsi="Times New Roman" w:cs="Times New Roman"/>
          <w:sz w:val="24"/>
          <w:szCs w:val="24"/>
          <w:lang w:val="en-US"/>
        </w:rPr>
        <w:t>AMC1 145.B.305(b) Oversight programme</w:t>
      </w:r>
      <w:bookmarkEnd w:id="362"/>
      <w:bookmarkEnd w:id="363"/>
    </w:p>
    <w:p w14:paraId="74503DF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SPECIFIC NATURE OF THE ORGANISATION AND COMPLEXITY OF ITS ACTIVITIES — RESULTS OF PAST</w:t>
      </w:r>
    </w:p>
    <w:p w14:paraId="4565D6E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CERTIFICATION OR OVERSIGHT ACTIVITIES</w:t>
      </w:r>
    </w:p>
    <w:p w14:paraId="6EF2B30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When determining the oversight programme, including the product audits, the competent authority</w:t>
      </w:r>
    </w:p>
    <w:p w14:paraId="6FCB4CE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should consider in particular the following elements, as applicable:</w:t>
      </w:r>
    </w:p>
    <w:p w14:paraId="6552958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(1)   the effectiveness of the organisation’s management system in identifying and addressing non-compliances and safety hazards;</w:t>
      </w:r>
    </w:p>
    <w:p w14:paraId="2C3F6B3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implementation by the organisation of any industry standards that are directly relevant to the organisation’s activities subject to this Regulation;</w:t>
      </w:r>
    </w:p>
    <w:p w14:paraId="180194B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procedure applied for and the scope of changes not requiring prior approval;</w:t>
      </w:r>
    </w:p>
    <w:p w14:paraId="0FB2377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any specific procedures implemented by the organisation that are related to any alternative means of compliance used;</w:t>
      </w:r>
    </w:p>
    <w:p w14:paraId="4306E9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number of approved locations and the activities performed at each location;</w:t>
      </w:r>
    </w:p>
    <w:p w14:paraId="1D78E49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(6)     the number and type of any subcontractors that perform maintenance tasks; and</w:t>
      </w:r>
    </w:p>
    <w:p w14:paraId="41E7597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(7)     the volume of activity for each A, B, C and D class rating, as applicable.</w:t>
      </w:r>
    </w:p>
    <w:p w14:paraId="635F07EF"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64" w:name="toc_sec_0179"/>
      <w:bookmarkStart w:id="365" w:name="_Toc241066190"/>
      <w:r w:rsidRPr="00AD3643">
        <w:rPr>
          <w:rFonts w:ascii="Times New Roman" w:hAnsi="Times New Roman" w:cs="Times New Roman"/>
          <w:sz w:val="24"/>
          <w:szCs w:val="24"/>
          <w:lang w:val="en-US"/>
        </w:rPr>
        <w:t>AMC2 145.B.305(b) Oversight programme</w:t>
      </w:r>
      <w:bookmarkEnd w:id="364"/>
      <w:bookmarkEnd w:id="365"/>
    </w:p>
    <w:p w14:paraId="1F1926ED"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SUBCONTRACTED ACTIVITIES</w:t>
      </w:r>
    </w:p>
    <w:p w14:paraId="30496195" w14:textId="77777777" w:rsidR="00DC6F14"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If a Part-145 organisation subcontracts maintenance tasks, the competent authority should determine</w:t>
      </w:r>
      <w:r w:rsidR="00DC73D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whether the subcontracted organisation needs to be audited and included in the oversight</w:t>
      </w:r>
      <w:r w:rsidR="00AD4AA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programme, taking into account the specific nature and complexity of the subcontracted activities,</w:t>
      </w:r>
      <w:r w:rsidR="00AD4AA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the results of previous oversight activities of the approved organisation, and the assessment of the</w:t>
      </w:r>
      <w:r w:rsidR="00AD4AA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associated risks.</w:t>
      </w:r>
      <w:r w:rsidR="00DC73D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For such audits, competent authority inspectors should ensure that they are accompanied throughout</w:t>
      </w:r>
      <w:r w:rsidR="00DC73D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the audit by a senior technical member of the Part-145 organisation.</w:t>
      </w:r>
      <w:r w:rsidR="00AD4AA2">
        <w:rPr>
          <w:rFonts w:ascii="Times New Roman" w:hAnsi="Times New Roman" w:cs="Times New Roman"/>
          <w:sz w:val="24"/>
          <w:szCs w:val="24"/>
          <w:lang w:val="en-US"/>
        </w:rPr>
        <w:t xml:space="preserve"> </w:t>
      </w:r>
    </w:p>
    <w:p w14:paraId="79C6E01A" w14:textId="73D60B1F" w:rsidR="00E52167" w:rsidRPr="00AD3643" w:rsidRDefault="00E52167" w:rsidP="00C95D06">
      <w:pPr>
        <w:spacing w:after="0"/>
        <w:jc w:val="both"/>
        <w:rPr>
          <w:rFonts w:ascii="Times New Roman" w:hAnsi="Times New Roman" w:cs="Times New Roman"/>
          <w:sz w:val="24"/>
          <w:szCs w:val="24"/>
          <w:lang w:val="en-US"/>
        </w:rPr>
      </w:pPr>
      <w:r w:rsidRPr="00DC6F14">
        <w:rPr>
          <w:rFonts w:ascii="Times New Roman" w:hAnsi="Times New Roman" w:cs="Times New Roman"/>
          <w:i/>
          <w:iCs/>
          <w:sz w:val="24"/>
          <w:szCs w:val="24"/>
          <w:lang w:val="en-US"/>
        </w:rPr>
        <w:t>NOTE:</w:t>
      </w:r>
      <w:r w:rsidRPr="00AD3643">
        <w:rPr>
          <w:rFonts w:ascii="Times New Roman" w:hAnsi="Times New Roman" w:cs="Times New Roman"/>
          <w:sz w:val="24"/>
          <w:szCs w:val="24"/>
          <w:lang w:val="en-US"/>
        </w:rPr>
        <w:t xml:space="preserve"> If a Part-145 organisation subcontracts maintenance tasks, the </w:t>
      </w:r>
      <w:r w:rsidR="00DC6F14">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should</w:t>
      </w:r>
      <w:r w:rsidR="00AD4AA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ensure that the Part-145 organisation manages the risks related to, and that it has sufficient control</w:t>
      </w:r>
      <w:r w:rsidR="00AD4AA2">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over, the subcontracted activities (see AMC1 145.A.75(b)).</w:t>
      </w:r>
    </w:p>
    <w:p w14:paraId="5D905023"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66" w:name="toc_sec_0180"/>
      <w:bookmarkStart w:id="367" w:name="_Toc241066191"/>
      <w:r w:rsidRPr="00AD3643">
        <w:rPr>
          <w:rFonts w:ascii="Times New Roman" w:hAnsi="Times New Roman" w:cs="Times New Roman"/>
          <w:sz w:val="24"/>
          <w:szCs w:val="24"/>
          <w:lang w:val="en-US"/>
        </w:rPr>
        <w:t>AMC1 145.B.305(b)(1) Oversight programme</w:t>
      </w:r>
      <w:bookmarkEnd w:id="366"/>
      <w:bookmarkEnd w:id="367"/>
    </w:p>
    <w:p w14:paraId="54A03ED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AUDIT</w:t>
      </w:r>
    </w:p>
    <w:p w14:paraId="2298414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oversight programme should indicate which aspects of the approval will be covered by each audit.</w:t>
      </w:r>
    </w:p>
    <w:p w14:paraId="460D4C4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Part of each audit should concentrate on the audit reports produced by the organisation’s compliance monitoring function, to determine whether the organisation has been identifying and correcting its problems.</w:t>
      </w:r>
    </w:p>
    <w:p w14:paraId="073554C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At the conclusion of the audit, the auditing inspector should complete an audit report that identifies the areas and processes that were audited, and includes all the findings that were raised.</w:t>
      </w:r>
    </w:p>
    <w:p w14:paraId="24024D95" w14:textId="18432CC0"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(d)     At the completion of each oversight planning cycle, a new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6 should be issued.</w:t>
      </w:r>
    </w:p>
    <w:p w14:paraId="0767073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68" w:name="toc_sec_0181"/>
      <w:bookmarkStart w:id="369" w:name="_Toc241066192"/>
      <w:r w:rsidRPr="00AD3643">
        <w:rPr>
          <w:rFonts w:ascii="Times New Roman" w:hAnsi="Times New Roman" w:cs="Times New Roman"/>
          <w:sz w:val="24"/>
          <w:szCs w:val="24"/>
          <w:lang w:val="en-US"/>
        </w:rPr>
        <w:t>AMC1 145.B.305(c) Oversight programme</w:t>
      </w:r>
      <w:bookmarkEnd w:id="368"/>
      <w:bookmarkEnd w:id="369"/>
    </w:p>
    <w:p w14:paraId="13FFDBF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OVERSIGHT PLANNING CYCLE — AUDIT AND INSPECTION</w:t>
      </w:r>
    </w:p>
    <w:p w14:paraId="59A5E87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When determining the oversight planning cycle and defining the oversight programme, the competent authority should assess the risks related to the activity and set-up of each organisation, and adapt the oversight to the level of risk identified and to the effectiveness of the organisation’s management system, in particular its ability to effectively manage safety risks.</w:t>
      </w:r>
    </w:p>
    <w:p w14:paraId="4CD432B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     The competent authority should establish a schedule of audits and inspections that is appropriate to each organisation. The planning of audits and inspections should take into account the results of </w:t>
      </w:r>
      <w:r w:rsidRPr="00AD3643">
        <w:rPr>
          <w:rFonts w:ascii="Times New Roman" w:hAnsi="Times New Roman" w:cs="Times New Roman"/>
          <w:sz w:val="24"/>
          <w:szCs w:val="24"/>
          <w:lang w:val="en-US"/>
        </w:rPr>
        <w:lastRenderedPageBreak/>
        <w:t>the hazard identification and the risk assessment conducted and maintained by the organisation as part of the organisation’s management system. Inspectors should work in accordance with the schedule provided to them.</w:t>
      </w:r>
    </w:p>
    <w:p w14:paraId="03AA5846"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REQUIREMENTS</w:t>
      </w:r>
    </w:p>
    <w:p w14:paraId="390914F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When the competent authority, having regard to the level of risk identified and the effectiveness of the organisation’s management system, varies the frequency of an audit or inspection, it should ensure that all aspects of the organisation’s activity are audited and inspected within the applicable oversight planning cycle.</w:t>
      </w:r>
    </w:p>
    <w:p w14:paraId="2C76805B"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70" w:name="toc_sec_0182"/>
      <w:bookmarkStart w:id="371" w:name="_Toc241066193"/>
      <w:r w:rsidRPr="00AD3643">
        <w:rPr>
          <w:rFonts w:ascii="Times New Roman" w:hAnsi="Times New Roman" w:cs="Times New Roman"/>
          <w:sz w:val="24"/>
          <w:szCs w:val="24"/>
          <w:lang w:val="en-US"/>
        </w:rPr>
        <w:t>AMC2 145.B.305(c) Oversight programme</w:t>
      </w:r>
      <w:bookmarkEnd w:id="370"/>
      <w:bookmarkEnd w:id="371"/>
    </w:p>
    <w:p w14:paraId="453CF232"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OVERSIGHT PLANNING CYCLE — AUDIT</w:t>
      </w:r>
    </w:p>
    <w:p w14:paraId="4E2443F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For each organisation certified by the competent authority, all applicable requirements including relevant processes should be audited at periods that do not exceed the applicable oversight planning cycle. The beginning of the first oversight planning cycle is normally determined by the date of issue of the first certificate. If the competent authority wishes to align the oversight planning cycle with the calendar year, it should shorten the first oversight planning cycle accordingly.</w:t>
      </w:r>
    </w:p>
    <w:p w14:paraId="604FAEA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Audits should include at least one on-site audit within each oversight planning cycle. For organisations that carry out their regular activities at more than one site, the determination of the sites and the requirements at these sites to be audited should consider the results of past oversight activities and the volume of activities at each site, as well as the main risk areas identified.</w:t>
      </w:r>
    </w:p>
    <w:p w14:paraId="6BECDDD0" w14:textId="16070D11"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(c)   For organisations that hold more than one certificate </w:t>
      </w:r>
      <w:r w:rsidRPr="00114D8B">
        <w:rPr>
          <w:rFonts w:ascii="Times New Roman" w:hAnsi="Times New Roman" w:cs="Times New Roman"/>
          <w:sz w:val="24"/>
          <w:szCs w:val="24"/>
          <w:lang w:val="en-US"/>
        </w:rPr>
        <w:t xml:space="preserve">under </w:t>
      </w:r>
      <w:r w:rsidR="00114D8B" w:rsidRPr="00114D8B">
        <w:rPr>
          <w:rFonts w:ascii="Times New Roman" w:hAnsi="Times New Roman" w:cs="Times New Roman"/>
          <w:sz w:val="24"/>
          <w:szCs w:val="24"/>
          <w:lang w:val="en-US"/>
        </w:rPr>
        <w:t>Aviation Code no. 301/2017</w:t>
      </w:r>
      <w:r w:rsidRPr="00114D8B">
        <w:rPr>
          <w:rFonts w:ascii="Times New Roman" w:hAnsi="Times New Roman" w:cs="Times New Roman"/>
          <w:sz w:val="24"/>
          <w:szCs w:val="24"/>
          <w:lang w:val="en-US"/>
        </w:rPr>
        <w:t>, the</w:t>
      </w:r>
      <w:r w:rsidRPr="00AD3643">
        <w:rPr>
          <w:rFonts w:ascii="Times New Roman" w:hAnsi="Times New Roman" w:cs="Times New Roman"/>
          <w:sz w:val="24"/>
          <w:szCs w:val="24"/>
          <w:lang w:val="en-US"/>
        </w:rPr>
        <w:t xml:space="preserve"> competent authority may define an integrated oversight schedule that includes all the applicable audit items. In order to avoid any duplication of audits, credit may be granted for specific audit items that have already been completed during the current oversight planning cycle, provided that:</w:t>
      </w:r>
    </w:p>
    <w:p w14:paraId="790672E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specific audit item is the same for all the certificates under consideration;</w:t>
      </w:r>
    </w:p>
    <w:p w14:paraId="0772784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there is satisfactory evidence on record that those specific audit items were carried out, and that all the related corrective actions have been implemented to the satisfaction of the competent authority;</w:t>
      </w:r>
    </w:p>
    <w:p w14:paraId="4D7C575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competent authority is satisfied that there is no evidence that standards have deteriorated regarding those specific audit items for which credit is granted.</w:t>
      </w:r>
    </w:p>
    <w:p w14:paraId="362E8203"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72" w:name="toc_sec_0183"/>
      <w:bookmarkStart w:id="373" w:name="_Toc241066194"/>
      <w:r w:rsidRPr="00AD3643">
        <w:rPr>
          <w:rFonts w:ascii="Times New Roman" w:hAnsi="Times New Roman" w:cs="Times New Roman"/>
          <w:sz w:val="24"/>
          <w:szCs w:val="24"/>
          <w:lang w:val="en-US"/>
        </w:rPr>
        <w:t>GM1 145.B.305(c) Oversight programme</w:t>
      </w:r>
      <w:bookmarkEnd w:id="372"/>
      <w:bookmarkEnd w:id="373"/>
    </w:p>
    <w:p w14:paraId="45DF74BD"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expression ‘shall not exceed 24 months’ does not imply that 24 months is a minimum duration for</w:t>
      </w:r>
    </w:p>
    <w:p w14:paraId="288E48B5"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oversight cycle. Based on the elements specified in 145.B.300(c) and 145.B.305(b) (e.g. safety</w:t>
      </w:r>
    </w:p>
    <w:p w14:paraId="75881D9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priorities, assessment of the risks, complexity of activities), the competent authority may decide to</w:t>
      </w:r>
    </w:p>
    <w:p w14:paraId="01E53CC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apply a cycle of less than 24 months (e.g. 12 months).</w:t>
      </w:r>
    </w:p>
    <w:p w14:paraId="52583916"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74" w:name="toc_sec_0184"/>
      <w:bookmarkStart w:id="375" w:name="_Toc241066195"/>
      <w:r w:rsidRPr="00AD3643">
        <w:rPr>
          <w:rFonts w:ascii="Times New Roman" w:hAnsi="Times New Roman" w:cs="Times New Roman"/>
          <w:sz w:val="24"/>
          <w:szCs w:val="24"/>
          <w:lang w:val="en-US"/>
        </w:rPr>
        <w:t>AMC1 145.B.305(d) Oversight programme</w:t>
      </w:r>
      <w:bookmarkEnd w:id="374"/>
      <w:bookmarkEnd w:id="375"/>
    </w:p>
    <w:p w14:paraId="1D92E8B3" w14:textId="15CE298B" w:rsidR="00E52167" w:rsidRPr="00AD3643" w:rsidRDefault="00E52167" w:rsidP="00C95D06">
      <w:pPr>
        <w:spacing w:after="0"/>
        <w:jc w:val="both"/>
        <w:rPr>
          <w:rFonts w:ascii="Times New Roman" w:hAnsi="Times New Roman" w:cs="Times New Roman"/>
          <w:sz w:val="24"/>
          <w:szCs w:val="24"/>
          <w:lang w:val="en-US"/>
        </w:rPr>
      </w:pPr>
    </w:p>
    <w:p w14:paraId="27F5CE21"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lastRenderedPageBreak/>
        <w:t>EXTENSION OF THE OVERSIGHT PLANNING CYCLE BEYOND 24 MONTHS</w:t>
      </w:r>
    </w:p>
    <w:p w14:paraId="1BF19D2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If the competent authority applies an oversight planning cycle that exceeds 24 months, it should, at a minimum, perform one focused inspection of the organisation (inspection of a</w:t>
      </w:r>
    </w:p>
    <w:p w14:paraId="1F27DBB5"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REQUIREMENTS</w:t>
      </w:r>
    </w:p>
    <w:p w14:paraId="57247B1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specific area, element or aspect of the organisation) within each 12-month segment of the applicable oversight planning cycle to support the extended oversight programme.</w:t>
      </w:r>
    </w:p>
    <w:p w14:paraId="2D93982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If the results of this inspection indicate a decrease in the safety performance or regulatory compliance of the organisation, the competent authority should revert back to a 24-month (or</w:t>
      </w:r>
    </w:p>
    <w:p w14:paraId="12418FE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less) oversight planning cycle and review the oversight programme accordingly.</w:t>
      </w:r>
    </w:p>
    <w:p w14:paraId="783A421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In order to be able to apply an oversight planning cycle beyond 36 months, the competent authority should agree on the format and contents of the continuous reporting to be made by the organisation on its safety performance and regulatory compliance.</w:t>
      </w:r>
    </w:p>
    <w:p w14:paraId="65E6FEA3" w14:textId="4FCD9A02" w:rsidR="00E52167" w:rsidRPr="00AD3643" w:rsidRDefault="00E52167" w:rsidP="00C95D06">
      <w:pPr>
        <w:pStyle w:val="Heading2"/>
        <w:spacing w:after="0"/>
        <w:jc w:val="both"/>
        <w:rPr>
          <w:rFonts w:ascii="Times New Roman" w:hAnsi="Times New Roman" w:cs="Times New Roman"/>
          <w:sz w:val="24"/>
          <w:szCs w:val="24"/>
          <w:lang w:val="en-US"/>
        </w:rPr>
      </w:pPr>
      <w:bookmarkStart w:id="376" w:name="toc_sec_0185"/>
      <w:bookmarkStart w:id="377" w:name="_Toc241066196"/>
      <w:r w:rsidRPr="00AD3643">
        <w:rPr>
          <w:rFonts w:ascii="Times New Roman" w:hAnsi="Times New Roman" w:cs="Times New Roman"/>
          <w:sz w:val="24"/>
          <w:szCs w:val="24"/>
          <w:lang w:val="en-US"/>
        </w:rPr>
        <w:t>GM1 145.B.305(d)(2) Oversight programme</w:t>
      </w:r>
      <w:bookmarkEnd w:id="376"/>
      <w:bookmarkEnd w:id="377"/>
    </w:p>
    <w:p w14:paraId="69C3A33B"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ORGANISATION’S CONTROL OVER THE CHANGES</w:t>
      </w:r>
    </w:p>
    <w:p w14:paraId="1159FD7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For the purpose of extending the oversight planning beyond 24 months, the continuous compliance</w:t>
      </w:r>
    </w:p>
    <w:p w14:paraId="445E128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of the organisation with 145.A.85 and the full control over all changes referred to in point</w:t>
      </w:r>
    </w:p>
    <w:p w14:paraId="49741E5A" w14:textId="1E4532AD"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145.B.305(d)(2) includes in particular the ability of the organisation to manage adequately the changes</w:t>
      </w:r>
      <w:r w:rsidR="00DC73D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not requiring prior approval foreseen in 145.A.85(c).</w:t>
      </w:r>
    </w:p>
    <w:p w14:paraId="22CB5C56" w14:textId="0BD916E7" w:rsidR="00E52167" w:rsidRPr="00AD3643" w:rsidRDefault="00E52167" w:rsidP="00C95D06">
      <w:pPr>
        <w:pStyle w:val="Heading2"/>
        <w:spacing w:after="0"/>
        <w:jc w:val="both"/>
        <w:rPr>
          <w:rFonts w:ascii="Times New Roman" w:hAnsi="Times New Roman" w:cs="Times New Roman"/>
          <w:sz w:val="24"/>
          <w:szCs w:val="24"/>
          <w:lang w:val="en-US"/>
        </w:rPr>
      </w:pPr>
      <w:bookmarkStart w:id="378" w:name="toc_sec_0186"/>
      <w:bookmarkStart w:id="379" w:name="_Toc241066197"/>
      <w:r w:rsidRPr="00AD3643">
        <w:rPr>
          <w:rFonts w:ascii="Times New Roman" w:hAnsi="Times New Roman" w:cs="Times New Roman"/>
          <w:sz w:val="24"/>
          <w:szCs w:val="24"/>
          <w:lang w:val="en-US"/>
        </w:rPr>
        <w:t>AMC1 145.B.310 Initial certification procedure</w:t>
      </w:r>
      <w:bookmarkEnd w:id="378"/>
      <w:bookmarkEnd w:id="379"/>
    </w:p>
    <w:p w14:paraId="6EA202CA"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VERIFICATION OF COMPLIANCE</w:t>
      </w:r>
    </w:p>
    <w:p w14:paraId="5851FE6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In order to verify the organisation’s compliance with the applicable requirements, the competent authority should conduct an audit of the organisation, including interviews of the personnel, and inspections carried out at the organisation’s facilities.</w:t>
      </w:r>
    </w:p>
    <w:p w14:paraId="5C98F14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competent authority should only conduct such an audit if it is satisfied that the application and the supporting documentation, including the results of the pre-audit performed by the organisation, are in compliance with the applicable requirements.</w:t>
      </w:r>
    </w:p>
    <w:p w14:paraId="726E394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audit should focus on the following areas:</w:t>
      </w:r>
    </w:p>
    <w:p w14:paraId="0997D02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detailed management structure, including the names and qualifications of personnel as required by points (a), (b), (c) and (ca) of point 145.A.30, and the adequacy of the organisation and its management structure;</w:t>
      </w:r>
    </w:p>
    <w:p w14:paraId="201A2C8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personnel:</w:t>
      </w:r>
    </w:p>
    <w:p w14:paraId="272B439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adequacy of the number of staff, and of their qualifications and experience with regard to the intended terms of approval and the associated privileges;</w:t>
      </w:r>
    </w:p>
    <w:p w14:paraId="41CD883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the validity of any licences and/or authorisations, as applicable;</w:t>
      </w:r>
    </w:p>
    <w:p w14:paraId="04EFB04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the processes used for safety risk management and compliance monitoring;</w:t>
      </w:r>
    </w:p>
    <w:p w14:paraId="7A4B394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(4)   the facilities and their adequacy regarding the organisation’s scope of work;</w:t>
      </w:r>
    </w:p>
    <w:p w14:paraId="32E1920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(5)   the documentation based on which the certificate should be granted (i.e. the documentation required by Part-145):</w:t>
      </w:r>
    </w:p>
    <w:p w14:paraId="12AB7DE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verification that the procedures specified in the MOE comply with the applicable requirements; and</w:t>
      </w:r>
    </w:p>
    <w:p w14:paraId="580976E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verification that the accountable manager has signed the exposition statement.</w:t>
      </w:r>
    </w:p>
    <w:p w14:paraId="7E229AE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(d)     If an application for an organisation certificate is refused, the applicant should be informed of the right of appeal that exists under national law.</w:t>
      </w:r>
    </w:p>
    <w:p w14:paraId="69A580E1" w14:textId="18990D6A" w:rsidR="00E52167" w:rsidRPr="00AD3643" w:rsidRDefault="00E52167" w:rsidP="00C95D06">
      <w:pPr>
        <w:pStyle w:val="Heading2"/>
        <w:spacing w:after="0"/>
        <w:jc w:val="both"/>
        <w:rPr>
          <w:rFonts w:ascii="Times New Roman" w:hAnsi="Times New Roman" w:cs="Times New Roman"/>
          <w:sz w:val="24"/>
          <w:szCs w:val="24"/>
          <w:lang w:val="en-US"/>
        </w:rPr>
      </w:pPr>
      <w:bookmarkStart w:id="380" w:name="toc_sec_0187"/>
      <w:bookmarkStart w:id="381" w:name="_Toc241066198"/>
      <w:r w:rsidRPr="00AD3643">
        <w:rPr>
          <w:rFonts w:ascii="Times New Roman" w:hAnsi="Times New Roman" w:cs="Times New Roman"/>
          <w:sz w:val="24"/>
          <w:szCs w:val="24"/>
          <w:lang w:val="en-US"/>
        </w:rPr>
        <w:t>AMC1 145.B.310(a) Initial certification procedure</w:t>
      </w:r>
      <w:bookmarkEnd w:id="380"/>
      <w:bookmarkEnd w:id="381"/>
    </w:p>
    <w:p w14:paraId="0D4E1EB1"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AUDIT</w:t>
      </w:r>
    </w:p>
    <w:p w14:paraId="08FC35C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competent authority should determine how and by whom the audit shall be conducted. For example, it will be necessary to determine whether one large team audit, a short series of small team audits, or a long series of single inspector audits is most appropriate for the particular situation.</w:t>
      </w:r>
    </w:p>
    <w:p w14:paraId="4EA900F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The audit may be structured so as to verify the organisation’s processes related to a product</w:t>
      </w:r>
    </w:p>
    <w:p w14:paraId="4A966E1A" w14:textId="11CDEF64" w:rsidR="00E52167" w:rsidRPr="00DC73D6"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line. For example, in the case of an organisation with Airbus A310 and A320 ratings, the audit should concentrate on the maintenance processes of one aircraft type only for a full complianc</w:t>
      </w:r>
    </w:p>
    <w:p w14:paraId="080AA7A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check, and depending upon the result, the second aircraft type may only require a sample check against those aspects that were seen to be weak regarding compliance for the first type.</w:t>
      </w:r>
    </w:p>
    <w:p w14:paraId="1BCE5AB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In determining the scope of the audit and which activities of the organisation will be assessed during the audit, the privileges of the approved organisation should be taken into account, e.g. their approval to carry out airworthiness reviews.</w:t>
      </w:r>
    </w:p>
    <w:p w14:paraId="567B801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Competent authority auditing inspectors should always ensure that they are accompanied throughout the audit by a senior member of the organisation, who is normally the compliance monitoring manager. The reason for being accompanied is to ensure that the organisation is fully aware of any findings raised during the audit.</w:t>
      </w:r>
    </w:p>
    <w:p w14:paraId="5AEDC91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At the end of the audit, the auditing inspector should inform the senior member of the organisation of all the findings that were raised during the audit.</w:t>
      </w:r>
    </w:p>
    <w:p w14:paraId="7451D49D" w14:textId="74DCB839" w:rsidR="00E52167" w:rsidRPr="00AD3643" w:rsidRDefault="00E52167" w:rsidP="00C95D06">
      <w:pPr>
        <w:pStyle w:val="Heading2"/>
        <w:spacing w:after="0"/>
        <w:jc w:val="both"/>
        <w:rPr>
          <w:rFonts w:ascii="Times New Roman" w:hAnsi="Times New Roman" w:cs="Times New Roman"/>
          <w:sz w:val="24"/>
          <w:szCs w:val="24"/>
          <w:lang w:val="en-US"/>
        </w:rPr>
      </w:pPr>
      <w:bookmarkStart w:id="382" w:name="toc_sec_0188"/>
      <w:bookmarkStart w:id="383" w:name="_Toc241066199"/>
      <w:r w:rsidRPr="00AD3643">
        <w:rPr>
          <w:rFonts w:ascii="Times New Roman" w:hAnsi="Times New Roman" w:cs="Times New Roman"/>
          <w:sz w:val="24"/>
          <w:szCs w:val="24"/>
          <w:lang w:val="en-US"/>
        </w:rPr>
        <w:t>AMC1 145.B.310(c) Initial certification procedure</w:t>
      </w:r>
      <w:bookmarkEnd w:id="382"/>
      <w:bookmarkEnd w:id="383"/>
    </w:p>
    <w:p w14:paraId="0256704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There may be occasions when the competent authority inspector is unsure about the compliance of</w:t>
      </w:r>
    </w:p>
    <w:p w14:paraId="491DA377"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some aspects of the organisation applying for the initial issue of a certificate. If this occurs, the</w:t>
      </w:r>
    </w:p>
    <w:p w14:paraId="1114E001"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inspector should inform the organisation about the possible non-compliance at the time, and about</w:t>
      </w:r>
    </w:p>
    <w:p w14:paraId="68E253B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fact that the situation will be reviewed within the competent authority before a decision is made.</w:t>
      </w:r>
    </w:p>
    <w:p w14:paraId="4DB17229"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If the review concludes that there is no finding, then a verbal confirmation to the organisation should</w:t>
      </w:r>
    </w:p>
    <w:p w14:paraId="2B7565F6"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suffice.</w:t>
      </w:r>
    </w:p>
    <w:p w14:paraId="036D4688" w14:textId="6B3C9BCD" w:rsidR="00E52167" w:rsidRPr="00AD3643" w:rsidRDefault="00E52167" w:rsidP="00C95D06">
      <w:pPr>
        <w:pStyle w:val="Heading2"/>
        <w:spacing w:after="0"/>
        <w:jc w:val="both"/>
        <w:rPr>
          <w:rFonts w:ascii="Times New Roman" w:hAnsi="Times New Roman" w:cs="Times New Roman"/>
          <w:sz w:val="24"/>
          <w:szCs w:val="24"/>
          <w:lang w:val="en-US"/>
        </w:rPr>
      </w:pPr>
      <w:bookmarkStart w:id="384" w:name="toc_sec_0189"/>
      <w:bookmarkStart w:id="385" w:name="_Toc241066200"/>
      <w:r w:rsidRPr="00AD3643">
        <w:rPr>
          <w:rFonts w:ascii="Times New Roman" w:hAnsi="Times New Roman" w:cs="Times New Roman"/>
          <w:sz w:val="24"/>
          <w:szCs w:val="24"/>
          <w:lang w:val="en-US"/>
        </w:rPr>
        <w:t>AMC2 145.B.310(c) Initial certification procedure</w:t>
      </w:r>
      <w:bookmarkEnd w:id="384"/>
      <w:bookmarkEnd w:id="385"/>
    </w:p>
    <w:p w14:paraId="12378FC6" w14:textId="1AF3F11F"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   The audit should be recorded using the audit report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6 (Appendix II to AMC2 145.B.310(c)).</w:t>
      </w:r>
    </w:p>
    <w:p w14:paraId="78935387" w14:textId="1F08B63B"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   A review of the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6 audit report form should be carried out by a competent independent person nominated by the competent authority. A satisfactory review of the audit report should be indicated by a signature on the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6.</w:t>
      </w:r>
    </w:p>
    <w:p w14:paraId="46F84F8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The audit reports should include the date when each finding was closed, together with a reference to the closure actions.</w:t>
      </w:r>
    </w:p>
    <w:p w14:paraId="3F0F3CF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86" w:name="toc_sec_0190"/>
      <w:bookmarkStart w:id="387" w:name="_Toc241066201"/>
      <w:r w:rsidRPr="00AD3643">
        <w:rPr>
          <w:rFonts w:ascii="Times New Roman" w:hAnsi="Times New Roman" w:cs="Times New Roman"/>
          <w:sz w:val="24"/>
          <w:szCs w:val="24"/>
          <w:lang w:val="en-US"/>
        </w:rPr>
        <w:t>AMC1 145.B.310(d) Initial certification procedure</w:t>
      </w:r>
      <w:bookmarkEnd w:id="386"/>
      <w:bookmarkEnd w:id="387"/>
    </w:p>
    <w:p w14:paraId="46A2AA8B" w14:textId="6ED7DDD0" w:rsidR="00E52167" w:rsidRPr="00AD3643" w:rsidRDefault="00E52167" w:rsidP="00C95D06">
      <w:pPr>
        <w:spacing w:after="0"/>
        <w:jc w:val="both"/>
        <w:rPr>
          <w:rFonts w:ascii="Times New Roman" w:hAnsi="Times New Roman" w:cs="Times New Roman"/>
          <w:sz w:val="24"/>
          <w:szCs w:val="24"/>
          <w:lang w:val="en-US"/>
        </w:rPr>
      </w:pPr>
    </w:p>
    <w:p w14:paraId="5A3DDB16" w14:textId="4F6BA9E6"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All findings should be confirmed in writing to the applicant organisation within 2 weeks of the on-site</w:t>
      </w:r>
      <w:r w:rsidR="004757C8" w:rsidRPr="00AD3643">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audit.</w:t>
      </w:r>
    </w:p>
    <w:p w14:paraId="120AAE1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88" w:name="toc_sec_0191"/>
      <w:bookmarkStart w:id="389" w:name="_Toc241066202"/>
      <w:r w:rsidRPr="00AD3643">
        <w:rPr>
          <w:rFonts w:ascii="Times New Roman" w:hAnsi="Times New Roman" w:cs="Times New Roman"/>
          <w:sz w:val="24"/>
          <w:szCs w:val="24"/>
          <w:lang w:val="en-US"/>
        </w:rPr>
        <w:t>AMC1 145.B.330 Changes - organisations</w:t>
      </w:r>
      <w:bookmarkEnd w:id="388"/>
      <w:bookmarkEnd w:id="389"/>
    </w:p>
    <w:p w14:paraId="36E78EF4"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The competent authority should have adequate control over any changes to the personnel specified in points (a), (b), (c), (ca) and (k) of point 145.A.30. Such changes in personnel will require an amendment to the exposition.</w:t>
      </w:r>
    </w:p>
    <w:p w14:paraId="6C63F98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When an organisation submits the name of a new nominee for any of the personnel specified in points (a), (b), (c), (ca) and (k) of point 145.A.30, the competent authority may require the organisation to produce a written résumé of the proposed person’s qualifications. The competent authority should reserve the right to interview the nominee or to call for additional evidence of their suitability before deciding upon them being acceptable.</w:t>
      </w:r>
    </w:p>
    <w:p w14:paraId="5267EC6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For changes requiring prior approval, in order to verify the organisation’s compliance with the applicable requirements, the competent authority should conduct an audit of the organisation, limited to the extent of the changes. The competent authority may also request the organisation to provide the risk assessment referred to in AMC2 145.A.85 for review.</w:t>
      </w:r>
    </w:p>
    <w:p w14:paraId="77E444B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(d)   If required, the audit may include interviews and inspections carried out at the organisation’s facilities.</w:t>
      </w:r>
    </w:p>
    <w:p w14:paraId="0B2C1305" w14:textId="3BEFF61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(e)   The applicable part(s) of </w:t>
      </w:r>
      <w:r w:rsidR="00C95D06">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6 should be used to document the assessment of any changes to the Part-145 approval.</w:t>
      </w:r>
    </w:p>
    <w:p w14:paraId="34E25CB1"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90" w:name="toc_sec_0192"/>
      <w:bookmarkStart w:id="391" w:name="_Toc241066203"/>
      <w:r w:rsidRPr="00AD3643">
        <w:rPr>
          <w:rFonts w:ascii="Times New Roman" w:hAnsi="Times New Roman" w:cs="Times New Roman"/>
          <w:sz w:val="24"/>
          <w:szCs w:val="24"/>
          <w:lang w:val="en-US"/>
        </w:rPr>
        <w:t>GM1 145.B.330 Changes - organisations</w:t>
      </w:r>
      <w:bookmarkEnd w:id="390"/>
      <w:bookmarkEnd w:id="391"/>
    </w:p>
    <w:p w14:paraId="15F90D4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CHANGE OF THE NAME OF THE ORGANISATION</w:t>
      </w:r>
    </w:p>
    <w:p w14:paraId="0E7E9DA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On receipt of the application and the amendment to the relevant parts of the MOE, the competent authority should reissue the certificate.</w:t>
      </w:r>
    </w:p>
    <w:p w14:paraId="2A71FE9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 change of only the name does not require the competent authority to audit the organisation unless there is evidence that other aspects of the organisation have changed.</w:t>
      </w:r>
    </w:p>
    <w:p w14:paraId="52261EB7"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92" w:name="toc_sec_0193"/>
      <w:bookmarkStart w:id="393" w:name="_Toc241066204"/>
      <w:r w:rsidRPr="00AD3643">
        <w:rPr>
          <w:rFonts w:ascii="Times New Roman" w:hAnsi="Times New Roman" w:cs="Times New Roman"/>
          <w:sz w:val="24"/>
          <w:szCs w:val="24"/>
          <w:lang w:val="en-US"/>
        </w:rPr>
        <w:t>AMC1 145.B.330(e) Changes - organisations</w:t>
      </w:r>
      <w:bookmarkEnd w:id="392"/>
      <w:bookmarkEnd w:id="393"/>
    </w:p>
    <w:p w14:paraId="79B091C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REVIEW OF CHANGES NOT REQUIRING PRIOR APPROVAL</w:t>
      </w:r>
    </w:p>
    <w:p w14:paraId="05D5167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authority should implement a process to review the changes not requiring prior approval. This</w:t>
      </w:r>
    </w:p>
    <w:p w14:paraId="5ACAF23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should include at least, as part of the continuing oversight activities during the oversight cycle:</w:t>
      </w:r>
    </w:p>
    <w:p w14:paraId="36BA5FC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auditing the organisation process for changes not requiring prior approval;</w:t>
      </w:r>
    </w:p>
    <w:p w14:paraId="26F81EB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selecting a sample of these changes and verifying their compliance with the applicable requirements.</w:t>
      </w:r>
    </w:p>
    <w:p w14:paraId="7B8CAE1D" w14:textId="0FAEFA09" w:rsidR="00E52167" w:rsidRPr="00AD3643" w:rsidRDefault="00E52167" w:rsidP="00C95D06">
      <w:pPr>
        <w:pStyle w:val="Heading2"/>
        <w:spacing w:after="0"/>
        <w:jc w:val="both"/>
        <w:rPr>
          <w:rFonts w:ascii="Times New Roman" w:hAnsi="Times New Roman" w:cs="Times New Roman"/>
          <w:sz w:val="24"/>
          <w:szCs w:val="24"/>
          <w:lang w:val="en-US"/>
        </w:rPr>
      </w:pPr>
      <w:bookmarkStart w:id="394" w:name="_Toc241066205"/>
      <w:r w:rsidRPr="00DC73D6">
        <w:rPr>
          <w:rFonts w:ascii="Times New Roman" w:hAnsi="Times New Roman" w:cs="Times New Roman"/>
          <w:sz w:val="24"/>
          <w:szCs w:val="24"/>
          <w:lang w:val="en-US"/>
        </w:rPr>
        <w:t>145.B.330A Changes to the information security management</w:t>
      </w:r>
      <w:r w:rsidR="00DC73D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system</w:t>
      </w:r>
      <w:bookmarkEnd w:id="394"/>
    </w:p>
    <w:p w14:paraId="5F009601" w14:textId="46BADAED" w:rsidR="00E52167" w:rsidRPr="00AD3643" w:rsidRDefault="00E52167" w:rsidP="00C95D06">
      <w:pPr>
        <w:spacing w:after="0"/>
        <w:jc w:val="both"/>
        <w:rPr>
          <w:rFonts w:ascii="Times New Roman" w:hAnsi="Times New Roman" w:cs="Times New Roman"/>
          <w:sz w:val="24"/>
          <w:szCs w:val="24"/>
          <w:lang w:val="en-US"/>
        </w:rPr>
      </w:pPr>
    </w:p>
    <w:p w14:paraId="4F5747A9" w14:textId="12AE9FC3" w:rsidR="00E52167" w:rsidRPr="00AD3643" w:rsidRDefault="00E52167" w:rsidP="0008591E">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(a)   For changes managed and notified to the competent authority in accordance with the procedure set out in point IS.I.OR.255(a) of Annex II (Part-IS.I.OR) to Implementing </w:t>
      </w:r>
      <w:r w:rsidR="0008591E">
        <w:rPr>
          <w:rFonts w:ascii="Times New Roman" w:hAnsi="Times New Roman" w:cs="Times New Roman"/>
          <w:sz w:val="24"/>
          <w:szCs w:val="24"/>
          <w:lang w:val="en-US"/>
        </w:rPr>
        <w:t>GD 722/2025</w:t>
      </w:r>
      <w:r w:rsidRPr="00AD3643">
        <w:rPr>
          <w:rFonts w:ascii="Times New Roman" w:hAnsi="Times New Roman" w:cs="Times New Roman"/>
          <w:sz w:val="24"/>
          <w:szCs w:val="24"/>
          <w:lang w:val="en-US"/>
        </w:rPr>
        <w:t xml:space="preserve">, the competent authority shall include the review of such changes in its continuing oversight in accordance with the principles laid down in point 145.B.300. If any non- compliance is found, the competent </w:t>
      </w:r>
      <w:r w:rsidRPr="00AD3643">
        <w:rPr>
          <w:rFonts w:ascii="Times New Roman" w:hAnsi="Times New Roman" w:cs="Times New Roman"/>
          <w:sz w:val="24"/>
          <w:szCs w:val="24"/>
          <w:lang w:val="en-US"/>
        </w:rPr>
        <w:lastRenderedPageBreak/>
        <w:t>authority shall notify the organisation thereof, request further changes and act in accordance with point 145.B.350.</w:t>
      </w:r>
    </w:p>
    <w:p w14:paraId="626510F5" w14:textId="1A612692"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(b)   For other changes requiring an application for approval in accordance with point IS.I.OR.255(b) of Annex II (Part-IS.I.OR) to Implementing </w:t>
      </w:r>
      <w:r w:rsidR="0008591E">
        <w:rPr>
          <w:rFonts w:ascii="Times New Roman" w:hAnsi="Times New Roman" w:cs="Times New Roman"/>
          <w:sz w:val="24"/>
          <w:szCs w:val="24"/>
          <w:lang w:val="en-US"/>
        </w:rPr>
        <w:t>GD 722/2025</w:t>
      </w:r>
      <w:r w:rsidRPr="00AD3643">
        <w:rPr>
          <w:rFonts w:ascii="Times New Roman" w:hAnsi="Times New Roman" w:cs="Times New Roman"/>
          <w:sz w:val="24"/>
          <w:szCs w:val="24"/>
          <w:lang w:val="en-US"/>
        </w:rPr>
        <w:t>:</w:t>
      </w:r>
    </w:p>
    <w:p w14:paraId="5A487CC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upon receiving the application for the change, the competent authority shall check the organisation’s compliance with the applicable requirements before issuing the approval;</w:t>
      </w:r>
    </w:p>
    <w:p w14:paraId="29E83FE7"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competent authority shall establish the conditions under which the organisation may operate during the implementation of the change;</w:t>
      </w:r>
    </w:p>
    <w:p w14:paraId="4DE857A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if it is satisfied that the organisation complies with the applicable requirements, the competent authority shall approve the change.</w:t>
      </w:r>
    </w:p>
    <w:p w14:paraId="414BB913" w14:textId="21E6C93B" w:rsidR="00E52167" w:rsidRPr="00AD3643" w:rsidRDefault="00E52167" w:rsidP="00C95D06">
      <w:pPr>
        <w:pStyle w:val="Heading2"/>
        <w:spacing w:after="0"/>
        <w:jc w:val="both"/>
        <w:rPr>
          <w:rFonts w:ascii="Times New Roman" w:hAnsi="Times New Roman" w:cs="Times New Roman"/>
          <w:sz w:val="24"/>
          <w:szCs w:val="24"/>
          <w:lang w:val="en-US"/>
        </w:rPr>
      </w:pPr>
      <w:bookmarkStart w:id="395" w:name="toc_sec_0194"/>
      <w:bookmarkStart w:id="396" w:name="_Toc241066206"/>
      <w:r w:rsidRPr="00AD3643">
        <w:rPr>
          <w:rFonts w:ascii="Times New Roman" w:hAnsi="Times New Roman" w:cs="Times New Roman"/>
          <w:sz w:val="24"/>
          <w:szCs w:val="24"/>
          <w:lang w:val="en-US"/>
        </w:rPr>
        <w:t>GM1 145.B.350(f) Findings and corrective actions; observations</w:t>
      </w:r>
      <w:bookmarkEnd w:id="395"/>
      <w:bookmarkEnd w:id="396"/>
    </w:p>
    <w:p w14:paraId="1107F6F4" w14:textId="77777777" w:rsidR="00E52167" w:rsidRPr="00AD3643" w:rsidRDefault="00E52167" w:rsidP="00C95D06">
      <w:pPr>
        <w:pStyle w:val="Heading31"/>
        <w:spacing w:before="60" w:after="0"/>
        <w:jc w:val="both"/>
        <w:rPr>
          <w:rFonts w:cs="Times New Roman"/>
          <w:sz w:val="24"/>
          <w:szCs w:val="24"/>
        </w:rPr>
      </w:pPr>
      <w:r w:rsidRPr="00AD3643">
        <w:rPr>
          <w:rFonts w:cs="Times New Roman"/>
          <w:sz w:val="24"/>
          <w:szCs w:val="24"/>
        </w:rPr>
        <w:t>DIFFERENCE BETWEEN ‘LEVEL 2 FINDING’ AND ‘OBSERVATION’</w:t>
      </w:r>
    </w:p>
    <w:p w14:paraId="7999BB7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‘Findings’ are issued for non-compliance with the Regulation, whereas ‘observations’ may be issued to an organisation remaining compliant with the Regulation while additional inputs for the organisation could be considered for continuous improvement. However, the competent authority may decide to issue a ‘level 2’ finding when the ‘observations’ process is not managed correctly or overlooked.</w:t>
      </w:r>
    </w:p>
    <w:p w14:paraId="19B8BEDC"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Examples to help differentiate between a ‘level 2 finding’ and an ‘observation’ are provided below, based on the provisions for the control and calibration of tools in accordance with point 145.A.40(b). Example of a ‘level 2 finding’</w:t>
      </w:r>
    </w:p>
    <w:p w14:paraId="5F7ECB7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organisation could not demonstrate compliance with some elements of 145.A.40(b) regarding the control register of the tools, equipment and particularly test equipment process as evidenced by:</w:t>
      </w:r>
    </w:p>
    <w:p w14:paraId="1E50BAB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the fact that some sampled tools physically available in the tools store were missing in the tools control register managed by the organisation;</w:t>
      </w:r>
    </w:p>
    <w:p w14:paraId="1A1815E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the fact that one tool has not been correctly identified (e.g. incorrect P/N, S/N) in the tools control register. Examples of ‘observations’</w:t>
      </w:r>
    </w:p>
    <w:p w14:paraId="290D692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Accumulation of tools in the store not sent yet for calibration. This situation could generate some consequences on the availability of tools and operational capabilities during a peak of activities (ineffectiveness of the process).</w:t>
      </w:r>
    </w:p>
    <w:p w14:paraId="0287F163"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process to manage the tools control register through the dedicated software is not detailed enough (potential to cause a level 2 finding).</w:t>
      </w:r>
    </w:p>
    <w:p w14:paraId="34440BE0" w14:textId="77777777" w:rsidR="00E52167"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colour of the ‘unserviceable’ tag of the tools could generate some confusion. The organisation should consider changing the colour of this unserviceable tag to better alert the staff on the particular status of the unserviceable tools (potential improvement).</w:t>
      </w:r>
    </w:p>
    <w:p w14:paraId="0832DC56" w14:textId="77777777" w:rsidR="00EC3ED1" w:rsidRDefault="00EC3ED1" w:rsidP="00C95D06">
      <w:pPr>
        <w:spacing w:after="0"/>
        <w:ind w:left="173"/>
        <w:jc w:val="both"/>
        <w:rPr>
          <w:rFonts w:ascii="Times New Roman" w:hAnsi="Times New Roman" w:cs="Times New Roman"/>
          <w:sz w:val="24"/>
          <w:szCs w:val="24"/>
          <w:lang w:val="en-US"/>
        </w:rPr>
      </w:pPr>
    </w:p>
    <w:p w14:paraId="5E9FCF32" w14:textId="4B56AF3F" w:rsid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Appendix II — Class and rating system for the terms of approval of Part-145 maintenance organisations</w:t>
      </w:r>
    </w:p>
    <w:p w14:paraId="3A443ACB"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(a) Except as stated otherwise for the smallest organisations referred to in point (m), the table </w:t>
      </w:r>
    </w:p>
    <w:p w14:paraId="669056D5"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referred to in point (l) provides the possible classes and ratings to be used to establish the terms </w:t>
      </w:r>
    </w:p>
    <w:p w14:paraId="4A602875"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of approval of the certificate of the organisation approved in accordance with Annex II (Part-</w:t>
      </w:r>
    </w:p>
    <w:p w14:paraId="65FCECBD"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145). An organisation must be granted terms of approval that range from a single class and </w:t>
      </w:r>
    </w:p>
    <w:p w14:paraId="3312FF81"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lastRenderedPageBreak/>
        <w:t xml:space="preserve">rating with limitations to all classes and ratings with limitations. </w:t>
      </w:r>
    </w:p>
    <w:p w14:paraId="7AE0C077"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(b) In addition to the table in point (l), each maintenance organisation is required to indicate its </w:t>
      </w:r>
    </w:p>
    <w:p w14:paraId="1B4495CF"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scope of work in its MOE. </w:t>
      </w:r>
    </w:p>
    <w:p w14:paraId="3133F45A"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(c) Within the approval class(es) and rating(s) established by the competent authority, the scope </w:t>
      </w:r>
    </w:p>
    <w:p w14:paraId="3131E57B"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of work specified in the MOE defines the exact limits of its approval. It is therefore essential </w:t>
      </w:r>
    </w:p>
    <w:p w14:paraId="623D6FC8"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that the approval class(es) and rating(s) and the organisation’s scope of work match. </w:t>
      </w:r>
    </w:p>
    <w:p w14:paraId="69F62C29"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(d) A category A class rating means that the maintenance organisation may carry out maintenance </w:t>
      </w:r>
    </w:p>
    <w:p w14:paraId="24091F4D"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on aircraft and components (including engines and/or auxiliary power units (APUs)), in </w:t>
      </w:r>
    </w:p>
    <w:p w14:paraId="0D0290DC"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accordance with the aircraft maintenance data or, if agreed by the competent authority, in </w:t>
      </w:r>
    </w:p>
    <w:p w14:paraId="367C1121"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accordance with the component maintenance data, only while such components are fitted to </w:t>
      </w:r>
    </w:p>
    <w:p w14:paraId="50A9E439"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the aircraft. Nevertheless, such an A-rated maintenance organisation may temporarily remove </w:t>
      </w:r>
    </w:p>
    <w:p w14:paraId="20A53241"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a component for maintenance in order to improve access to that component, except when its </w:t>
      </w:r>
    </w:p>
    <w:p w14:paraId="7C85AF64"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removal generates the need for additional maintenance that the organisation is not approved </w:t>
      </w:r>
    </w:p>
    <w:p w14:paraId="2FA68FFB"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to perform. Such removal of component for maintenance by A-rated maintenance organisation </w:t>
      </w:r>
    </w:p>
    <w:p w14:paraId="23EE6561"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shall be subject to an appropriate control procedure in the MOE. </w:t>
      </w:r>
    </w:p>
    <w:p w14:paraId="0BB401E0"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The limitation column must specify the scope of such maintenance, thereby indicating the </w:t>
      </w:r>
    </w:p>
    <w:p w14:paraId="13B8945E"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extent of the approval. </w:t>
      </w:r>
    </w:p>
    <w:p w14:paraId="2B209126"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(e) Category A class ratings are subdivided into “Base” or “Line” maintenance categories. Such an </w:t>
      </w:r>
    </w:p>
    <w:p w14:paraId="1B6D1EB9"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organisation may be approved for either “Base” or “Line” maintenance, or both. It should be </w:t>
      </w:r>
    </w:p>
    <w:p w14:paraId="4440505C"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noted that a “Line” facility located at a main base facility requires a “Line” maintenance </w:t>
      </w:r>
    </w:p>
    <w:p w14:paraId="7257B941"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approval. </w:t>
      </w:r>
    </w:p>
    <w:p w14:paraId="2A6AD8AB"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(f) A category B class rating means that the maintenance organisation may carry out maintenance </w:t>
      </w:r>
    </w:p>
    <w:p w14:paraId="6006DAE1"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on uninstalled engines and/or APUs and engine and/or APU components, in accordance with </w:t>
      </w:r>
    </w:p>
    <w:p w14:paraId="0207E3E0"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the engine and/or APU maintenance data or, if agreed by the competent authority, in </w:t>
      </w:r>
    </w:p>
    <w:p w14:paraId="03BDBEB4"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accordance with the component maintenance data, only while such components are fitted to </w:t>
      </w:r>
    </w:p>
    <w:p w14:paraId="2149A6F5"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the engine and/or the APU. Nevertheless, such a B-rated approved maintenance organisation </w:t>
      </w:r>
    </w:p>
    <w:p w14:paraId="2196CBE1"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may temporarily remove a component for maintenance in order to improve access to that </w:t>
      </w:r>
    </w:p>
    <w:p w14:paraId="31183AE3"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component, except when its removal generates the need for additional maintenance that the </w:t>
      </w:r>
    </w:p>
    <w:p w14:paraId="0997E4E2"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organisation is not approved to perform. </w:t>
      </w:r>
    </w:p>
    <w:p w14:paraId="233455BB"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The limitation column must specify the scope of such maintenance, thereby indicating the </w:t>
      </w:r>
    </w:p>
    <w:p w14:paraId="29C9BBCB"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extent of the approval. </w:t>
      </w:r>
    </w:p>
    <w:p w14:paraId="3B361634"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A maintenance organisation that is approved with a category B class rating may also carry out </w:t>
      </w:r>
    </w:p>
    <w:p w14:paraId="24FE949C"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maintenance on an installed engine during aircraft base and line maintenance, provided that an </w:t>
      </w:r>
    </w:p>
    <w:p w14:paraId="5597DA05"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appropriate control procedure in the MOE has been approved by the competent authority. The </w:t>
      </w:r>
    </w:p>
    <w:p w14:paraId="3D93D83E" w14:textId="77777777" w:rsidR="00EC3ED1" w:rsidRP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 xml:space="preserve">scope of work in the MOE shall reflect those activities if they are permitted by the competent </w:t>
      </w:r>
    </w:p>
    <w:p w14:paraId="77FBC030" w14:textId="6BDBA7F9" w:rsidR="00EC3ED1" w:rsidRDefault="00EC3ED1" w:rsidP="00C95D06">
      <w:pPr>
        <w:spacing w:after="0"/>
        <w:ind w:left="173"/>
        <w:jc w:val="both"/>
        <w:rPr>
          <w:rFonts w:ascii="Times New Roman" w:hAnsi="Times New Roman" w:cs="Times New Roman"/>
          <w:sz w:val="24"/>
          <w:szCs w:val="24"/>
          <w:lang w:val="en-US"/>
        </w:rPr>
      </w:pPr>
      <w:r w:rsidRPr="00EC3ED1">
        <w:rPr>
          <w:rFonts w:ascii="Times New Roman" w:hAnsi="Times New Roman" w:cs="Times New Roman"/>
          <w:sz w:val="24"/>
          <w:szCs w:val="24"/>
          <w:lang w:val="en-US"/>
        </w:rPr>
        <w:t>authority.</w:t>
      </w:r>
    </w:p>
    <w:p w14:paraId="53D78B9C"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(g) A category C class rating means that the maintenance organisation may carry out maintenance </w:t>
      </w:r>
    </w:p>
    <w:p w14:paraId="0F13B039"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on uninstalled components (excluding complete engines and APUs) that are intended to be </w:t>
      </w:r>
    </w:p>
    <w:p w14:paraId="015C384D"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fitted on the aircraft or the engine/APU. </w:t>
      </w:r>
    </w:p>
    <w:p w14:paraId="49E8A149"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The limitation column must specify the scope of such maintenance, thereby indicating the </w:t>
      </w:r>
    </w:p>
    <w:p w14:paraId="7C805A03"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extent of the approval. </w:t>
      </w:r>
    </w:p>
    <w:p w14:paraId="630A315B"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A maintenance organisation that is approved with a category C class rating may also carry out </w:t>
      </w:r>
    </w:p>
    <w:p w14:paraId="19144B19"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maintenance on an installed component (other than a complete engine/APU) during aircraft </w:t>
      </w:r>
    </w:p>
    <w:p w14:paraId="3A91CC28"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base and line maintenance, or at an engine/APU maintenance facility provided that an </w:t>
      </w:r>
    </w:p>
    <w:p w14:paraId="0651FEB7"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lastRenderedPageBreak/>
        <w:t xml:space="preserve">appropriate control procedure in the MOE has been approved by the competent authority. The </w:t>
      </w:r>
    </w:p>
    <w:p w14:paraId="12A56057"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scope of work in the MOE shall reflect those activities if they are permitted by the competent </w:t>
      </w:r>
    </w:p>
    <w:p w14:paraId="6D6DA35F"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authority. </w:t>
      </w:r>
    </w:p>
    <w:p w14:paraId="22217571"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(h) A category D class rating is a self-contained class rating that is not necessarily related to a </w:t>
      </w:r>
    </w:p>
    <w:p w14:paraId="78A32253"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specific aircraft, engine or other component. The D1 – Non-Destructive Testing (NDT) rating is </w:t>
      </w:r>
    </w:p>
    <w:p w14:paraId="2568C5C9"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only necessary for a maintenance organisation that carries out NDT as a particular task for </w:t>
      </w:r>
    </w:p>
    <w:p w14:paraId="3F787EC5"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another organisation. A maintenance organisation that is approved with a class rating in the A, </w:t>
      </w:r>
    </w:p>
    <w:p w14:paraId="0CA421BD"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B or C category may carry out NDT on products that it maintains without the need for a D1 class </w:t>
      </w:r>
    </w:p>
    <w:p w14:paraId="0FAEFECB"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rating provided that the MOE contains appropriate NDT procedures. </w:t>
      </w:r>
    </w:p>
    <w:p w14:paraId="47716EE3"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(i) The limitation column is intended to give competent authorities the flexibility to customise an </w:t>
      </w:r>
    </w:p>
    <w:p w14:paraId="65B7DCB2"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approval for any particular organisation. Ratings may only be mentioned on the approval if they </w:t>
      </w:r>
    </w:p>
    <w:p w14:paraId="599A7786"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are appropriately limited. The table in point (l) specifies the types of limitations that are </w:t>
      </w:r>
    </w:p>
    <w:p w14:paraId="15E827E0"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possible. It is acceptable to stress in the limitation column the maintenance task rather than the </w:t>
      </w:r>
    </w:p>
    <w:p w14:paraId="064E67D6"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type or manufacturer of the aircraft or engine, if that is more appropriate to the organisation </w:t>
      </w:r>
    </w:p>
    <w:p w14:paraId="08F23DB5"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(an example could be avionics systems installations and the related maintenance). If that is </w:t>
      </w:r>
    </w:p>
    <w:p w14:paraId="50360EBC"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mentioned in the limitation column, it indicates that the maintenance organisation is approved </w:t>
      </w:r>
    </w:p>
    <w:p w14:paraId="44E03529"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to carry out maintenance up to and including that particular type/task. </w:t>
      </w:r>
    </w:p>
    <w:p w14:paraId="68645131"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(j) When reference is made to the series, type and group in the limitation column of class A and B, </w:t>
      </w:r>
    </w:p>
    <w:p w14:paraId="6B8BA2D5"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it shall be understood as follows: </w:t>
      </w:r>
    </w:p>
    <w:p w14:paraId="66F2C401"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 “series” means a specific type series such as the Airbus 300, 310 or 319, or the Boeing </w:t>
      </w:r>
    </w:p>
    <w:p w14:paraId="0A5659AC"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737-300 series, the RB211-524 series, the Cessna 150 or Cessna 172, the Beech 55 series, </w:t>
      </w:r>
    </w:p>
    <w:p w14:paraId="2DBABFE7" w14:textId="77777777" w:rsidR="00CE1B18" w:rsidRPr="00CE1B18" w:rsidRDefault="00CE1B18" w:rsidP="00C95D06">
      <w:pPr>
        <w:spacing w:after="0"/>
        <w:ind w:left="173"/>
        <w:jc w:val="both"/>
        <w:rPr>
          <w:rFonts w:ascii="Times New Roman" w:hAnsi="Times New Roman" w:cs="Times New Roman"/>
          <w:sz w:val="24"/>
          <w:szCs w:val="24"/>
          <w:lang w:val="pt-BR"/>
        </w:rPr>
      </w:pPr>
      <w:r w:rsidRPr="00CE1B18">
        <w:rPr>
          <w:rFonts w:ascii="Times New Roman" w:hAnsi="Times New Roman" w:cs="Times New Roman"/>
          <w:sz w:val="24"/>
          <w:szCs w:val="24"/>
          <w:lang w:val="pt-BR"/>
        </w:rPr>
        <w:t xml:space="preserve">the continental O-200 series, etc., </w:t>
      </w:r>
    </w:p>
    <w:p w14:paraId="7060BF08"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 “type” means a specific type or model such as the Airbus 310-240 type, the RB 211-524 </w:t>
      </w:r>
    </w:p>
    <w:p w14:paraId="4A8D8600"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B4 type, or the Cessna 172RG type. </w:t>
      </w:r>
    </w:p>
    <w:p w14:paraId="325A7DA6"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Any number of series or types may be quoted, </w:t>
      </w:r>
    </w:p>
    <w:p w14:paraId="5493265D"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“group” means, for example, Cessna single piston engine aircraft or Lycoming non-</w:t>
      </w:r>
    </w:p>
    <w:p w14:paraId="2C33AE8E"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supercharged piston engines, etc. </w:t>
      </w:r>
    </w:p>
    <w:p w14:paraId="55BC3F39"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(k) By way of derogation from point 145.A.85(a)(1), when a component capability list is used that </w:t>
      </w:r>
    </w:p>
    <w:p w14:paraId="31D24C0B"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could be subject to frequent amendments, then the organisation may propose to include such </w:t>
      </w:r>
    </w:p>
    <w:p w14:paraId="6BBC0FC5" w14:textId="77777777" w:rsidR="00CE1B18" w:rsidRPr="00CE1B18"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 xml:space="preserve">amendments in the procedure referred to in point 145.A.85(c) for changes not requiring prior </w:t>
      </w:r>
    </w:p>
    <w:p w14:paraId="71185A73" w14:textId="28B5E73D" w:rsidR="00CE1B18" w:rsidRPr="00AD3643" w:rsidRDefault="00CE1B18" w:rsidP="00C95D06">
      <w:pPr>
        <w:spacing w:after="0"/>
        <w:ind w:left="173"/>
        <w:jc w:val="both"/>
        <w:rPr>
          <w:rFonts w:ascii="Times New Roman" w:hAnsi="Times New Roman" w:cs="Times New Roman"/>
          <w:sz w:val="24"/>
          <w:szCs w:val="24"/>
          <w:lang w:val="en-US"/>
        </w:rPr>
      </w:pPr>
      <w:r w:rsidRPr="00CE1B18">
        <w:rPr>
          <w:rFonts w:ascii="Times New Roman" w:hAnsi="Times New Roman" w:cs="Times New Roman"/>
          <w:sz w:val="24"/>
          <w:szCs w:val="24"/>
          <w:lang w:val="en-US"/>
        </w:rPr>
        <w:t>approval.</w:t>
      </w:r>
    </w:p>
    <w:p w14:paraId="5A625D04" w14:textId="77777777" w:rsidR="00E52167" w:rsidRPr="00AD3643" w:rsidRDefault="00E52167" w:rsidP="00C95D06">
      <w:pPr>
        <w:pStyle w:val="Heading2"/>
        <w:spacing w:after="0"/>
        <w:jc w:val="both"/>
        <w:rPr>
          <w:rFonts w:ascii="Times New Roman" w:hAnsi="Times New Roman" w:cs="Times New Roman"/>
          <w:sz w:val="24"/>
          <w:szCs w:val="24"/>
          <w:lang w:val="en-US"/>
        </w:rPr>
      </w:pPr>
      <w:bookmarkStart w:id="397" w:name="toc_sec_0195"/>
      <w:bookmarkStart w:id="398" w:name="_Toc241066207"/>
      <w:r w:rsidRPr="00AD3643">
        <w:rPr>
          <w:rFonts w:ascii="Times New Roman" w:hAnsi="Times New Roman" w:cs="Times New Roman"/>
          <w:sz w:val="24"/>
          <w:szCs w:val="24"/>
          <w:lang w:val="en-US"/>
        </w:rPr>
        <w:t>AMC1 Appendix III - Maintenance Organisation Approval referred to in Annex II (Part-145)</w:t>
      </w:r>
      <w:bookmarkEnd w:id="397"/>
      <w:bookmarkEnd w:id="398"/>
    </w:p>
    <w:p w14:paraId="676C755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following fields on page 2 ‘Maintenance Organisation Terms of Approval’ of the maintenance</w:t>
      </w:r>
    </w:p>
    <w:p w14:paraId="46DF0C0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organisation approval certificate should be completed as follows:</w:t>
      </w:r>
    </w:p>
    <w:p w14:paraId="75DE79C8"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Date of original issue: It refers to the date of the original issue of the maintenance organisation exposition</w:t>
      </w:r>
    </w:p>
    <w:p w14:paraId="72F2E1C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Date of last revision approved: It refers to the date of the last revision of the maintenance organisation exposition affecting the content of the certificate. Changes to the maintenance organisation exposition which do not affect the content of the certificate do not require the reissuance of the certificate.</w:t>
      </w:r>
    </w:p>
    <w:p w14:paraId="6ACD179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Revision No: It refers to the revision No of the last revision of the maintenance organisation exposition affecting the content of the certificate. Changes to the maintenance organisation exposition which do not affect the content of the certificate do not require the reissuance of the certificate.</w:t>
      </w:r>
    </w:p>
    <w:p w14:paraId="04A503FC" w14:textId="1204970C" w:rsidR="00E52167" w:rsidRPr="00AD3643" w:rsidRDefault="00E52167" w:rsidP="00C95D06">
      <w:pPr>
        <w:pStyle w:val="Heading2"/>
        <w:spacing w:after="0"/>
        <w:jc w:val="both"/>
        <w:rPr>
          <w:rFonts w:ascii="Times New Roman" w:hAnsi="Times New Roman" w:cs="Times New Roman"/>
          <w:sz w:val="24"/>
          <w:szCs w:val="24"/>
          <w:lang w:val="en-US"/>
        </w:rPr>
      </w:pPr>
      <w:bookmarkStart w:id="399" w:name="_Toc241066208"/>
      <w:r w:rsidRPr="00AD3643">
        <w:rPr>
          <w:rFonts w:ascii="Times New Roman" w:hAnsi="Times New Roman" w:cs="Times New Roman"/>
          <w:sz w:val="24"/>
          <w:szCs w:val="24"/>
          <w:lang w:val="en-US"/>
        </w:rPr>
        <w:lastRenderedPageBreak/>
        <w:t xml:space="preserve">GM1 Appendix III — Maintenance Organisation Certificate — </w:t>
      </w:r>
      <w:r w:rsidR="00870ADB">
        <w:rPr>
          <w:rFonts w:ascii="Times New Roman" w:hAnsi="Times New Roman" w:cs="Times New Roman"/>
          <w:sz w:val="24"/>
          <w:szCs w:val="24"/>
          <w:lang w:val="en-US"/>
        </w:rPr>
        <w:t>CAA</w:t>
      </w:r>
      <w:r w:rsidR="00D50F9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Form 3-145</w:t>
      </w:r>
      <w:bookmarkEnd w:id="399"/>
    </w:p>
    <w:p w14:paraId="2CFC0E93"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The expression ‘or not’ at the end of the footnote ‘(****)’ on page 2 of 2 of the certificate does not</w:t>
      </w:r>
    </w:p>
    <w:p w14:paraId="5CC7D73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constitute an obligation to introduce a negative statement in the terms of approval concerning the</w:t>
      </w:r>
    </w:p>
    <w:p w14:paraId="79996E6A"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privilege to issue an airworthiness review certificate.</w:t>
      </w:r>
    </w:p>
    <w:p w14:paraId="1C8D9F7F" w14:textId="2908061C"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If the organisation holds the privilege to issue an airworthiness review certificate for an aircraft series,</w:t>
      </w:r>
      <w:r w:rsidR="00D50F9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type and group, the competent authority will state it on the relevant line. If the organisation does not</w:t>
      </w:r>
      <w:r w:rsidR="00D50F96">
        <w:rPr>
          <w:rFonts w:ascii="Times New Roman" w:hAnsi="Times New Roman" w:cs="Times New Roman"/>
          <w:sz w:val="24"/>
          <w:szCs w:val="24"/>
          <w:lang w:val="en-US"/>
        </w:rPr>
        <w:t xml:space="preserve"> </w:t>
      </w:r>
      <w:r w:rsidRPr="00AD3643">
        <w:rPr>
          <w:rFonts w:ascii="Times New Roman" w:hAnsi="Times New Roman" w:cs="Times New Roman"/>
          <w:sz w:val="24"/>
          <w:szCs w:val="24"/>
          <w:lang w:val="en-US"/>
        </w:rPr>
        <w:t>have that privilege, the competent authority may state it, but does not have to.</w:t>
      </w:r>
    </w:p>
    <w:p w14:paraId="12BFD812" w14:textId="77777777" w:rsidR="00E52167" w:rsidRPr="00AD3643" w:rsidRDefault="00E52167" w:rsidP="00C95D06">
      <w:pPr>
        <w:pStyle w:val="Heading1"/>
        <w:spacing w:after="0"/>
        <w:jc w:val="both"/>
        <w:rPr>
          <w:rFonts w:ascii="Times New Roman" w:hAnsi="Times New Roman" w:cs="Times New Roman"/>
          <w:sz w:val="24"/>
          <w:szCs w:val="24"/>
          <w:lang w:val="en-US"/>
        </w:rPr>
      </w:pPr>
      <w:bookmarkStart w:id="400" w:name="toc_sec_0196"/>
      <w:bookmarkStart w:id="401" w:name="_Toc241066209"/>
      <w:r w:rsidRPr="00AD3643">
        <w:rPr>
          <w:rFonts w:ascii="Times New Roman" w:hAnsi="Times New Roman" w:cs="Times New Roman"/>
          <w:sz w:val="24"/>
          <w:szCs w:val="24"/>
          <w:lang w:val="en-US"/>
        </w:rPr>
        <w:t>APPENDICES TO AMC TO ANNEX II (PART-145)</w:t>
      </w:r>
      <w:bookmarkEnd w:id="400"/>
      <w:bookmarkEnd w:id="401"/>
    </w:p>
    <w:p w14:paraId="3B6C366E" w14:textId="45E73838" w:rsidR="00E52167" w:rsidRPr="00AD3643" w:rsidRDefault="00E52167" w:rsidP="00C95D06">
      <w:pPr>
        <w:pStyle w:val="Heading2"/>
        <w:spacing w:after="0"/>
        <w:jc w:val="both"/>
        <w:rPr>
          <w:rFonts w:ascii="Times New Roman" w:hAnsi="Times New Roman" w:cs="Times New Roman"/>
          <w:sz w:val="24"/>
          <w:szCs w:val="24"/>
          <w:lang w:val="en-US"/>
        </w:rPr>
      </w:pPr>
      <w:bookmarkStart w:id="402" w:name="toc_sec_0197"/>
      <w:bookmarkStart w:id="403" w:name="_Toc241066210"/>
      <w:r w:rsidRPr="00AD3643">
        <w:rPr>
          <w:rFonts w:ascii="Times New Roman" w:hAnsi="Times New Roman" w:cs="Times New Roman"/>
          <w:sz w:val="24"/>
          <w:szCs w:val="24"/>
          <w:lang w:val="en-US"/>
        </w:rPr>
        <w:t xml:space="preserve">Appendix II to AMC2 145.B.310(c) - </w:t>
      </w:r>
      <w:r w:rsidR="00985E2E" w:rsidRPr="00AD3643">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6</w:t>
      </w:r>
      <w:bookmarkEnd w:id="402"/>
      <w:bookmarkEnd w:id="403"/>
    </w:p>
    <w:p w14:paraId="25C6E778" w14:textId="278D0FA8" w:rsidR="00E52167" w:rsidRPr="00AD3643" w:rsidRDefault="00C3110B" w:rsidP="00C95D06">
      <w:pPr>
        <w:spacing w:after="0"/>
        <w:jc w:val="both"/>
        <w:rPr>
          <w:rFonts w:ascii="Times New Roman" w:hAnsi="Times New Roman" w:cs="Times New Roman"/>
          <w:sz w:val="24"/>
          <w:szCs w:val="24"/>
          <w:lang w:val="en-US"/>
        </w:rPr>
      </w:pPr>
      <w:r w:rsidRPr="00C3110B">
        <w:rPr>
          <w:rFonts w:ascii="Times New Roman" w:hAnsi="Times New Roman" w:cs="Times New Roman"/>
          <w:sz w:val="24"/>
          <w:szCs w:val="24"/>
          <w:lang w:val="en-US"/>
        </w:rPr>
        <w:t>See Annexes to PI-A</w:t>
      </w:r>
      <w:r w:rsidR="00700F91">
        <w:rPr>
          <w:rFonts w:ascii="Times New Roman" w:hAnsi="Times New Roman" w:cs="Times New Roman"/>
          <w:sz w:val="24"/>
          <w:szCs w:val="24"/>
          <w:lang w:val="en-US"/>
        </w:rPr>
        <w:t>IR</w:t>
      </w:r>
      <w:r w:rsidRPr="00C3110B">
        <w:rPr>
          <w:rFonts w:ascii="Times New Roman" w:hAnsi="Times New Roman" w:cs="Times New Roman"/>
          <w:sz w:val="24"/>
          <w:szCs w:val="24"/>
          <w:lang w:val="en-US"/>
        </w:rPr>
        <w:t>-</w:t>
      </w:r>
      <w:r w:rsidR="00173F70">
        <w:rPr>
          <w:rFonts w:ascii="Times New Roman" w:hAnsi="Times New Roman" w:cs="Times New Roman"/>
          <w:sz w:val="24"/>
          <w:szCs w:val="24"/>
          <w:lang w:val="en-US"/>
        </w:rPr>
        <w:t>145</w:t>
      </w:r>
      <w:r w:rsidRPr="00C3110B">
        <w:rPr>
          <w:rFonts w:ascii="Times New Roman" w:hAnsi="Times New Roman" w:cs="Times New Roman"/>
          <w:sz w:val="24"/>
          <w:szCs w:val="24"/>
          <w:lang w:val="en-US"/>
        </w:rPr>
        <w:t>.</w:t>
      </w:r>
    </w:p>
    <w:p w14:paraId="42902020" w14:textId="5B15CC0F" w:rsidR="00E52167" w:rsidRPr="00AD3643" w:rsidRDefault="00E52167" w:rsidP="00C95D06">
      <w:pPr>
        <w:pStyle w:val="Heading2"/>
        <w:spacing w:after="0"/>
        <w:jc w:val="both"/>
        <w:rPr>
          <w:rFonts w:ascii="Times New Roman" w:hAnsi="Times New Roman" w:cs="Times New Roman"/>
          <w:sz w:val="24"/>
          <w:szCs w:val="24"/>
          <w:lang w:val="en-US"/>
        </w:rPr>
      </w:pPr>
      <w:bookmarkStart w:id="404" w:name="toc_sec_0198"/>
      <w:bookmarkStart w:id="405" w:name="_Toc241066211"/>
      <w:r w:rsidRPr="00AD3643">
        <w:rPr>
          <w:rFonts w:ascii="Times New Roman" w:hAnsi="Times New Roman" w:cs="Times New Roman"/>
          <w:sz w:val="24"/>
          <w:szCs w:val="24"/>
          <w:lang w:val="en-US"/>
        </w:rPr>
        <w:t>Appendix III to AMC1 145.A.15 -</w:t>
      </w:r>
      <w:r w:rsidR="00004599">
        <w:rPr>
          <w:rFonts w:ascii="Times New Roman" w:hAnsi="Times New Roman" w:cs="Times New Roman"/>
          <w:sz w:val="24"/>
          <w:szCs w:val="24"/>
          <w:lang w:val="en-US"/>
        </w:rPr>
        <w:t xml:space="preserve"> CAA</w:t>
      </w:r>
      <w:r w:rsidRPr="00AD3643">
        <w:rPr>
          <w:rFonts w:ascii="Times New Roman" w:hAnsi="Times New Roman" w:cs="Times New Roman"/>
          <w:sz w:val="24"/>
          <w:szCs w:val="24"/>
          <w:lang w:val="en-US"/>
        </w:rPr>
        <w:t xml:space="preserve"> Form 2</w:t>
      </w:r>
      <w:bookmarkEnd w:id="404"/>
      <w:bookmarkEnd w:id="405"/>
    </w:p>
    <w:p w14:paraId="2E2D3F9F" w14:textId="2D3F866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The provisions of Appendix IX to AMC M.A.602 and AMC M.A.702 </w:t>
      </w:r>
      <w:r w:rsidR="00985E2E" w:rsidRPr="00AD3643">
        <w:rPr>
          <w:rFonts w:ascii="Times New Roman" w:hAnsi="Times New Roman" w:cs="Times New Roman"/>
          <w:sz w:val="24"/>
          <w:szCs w:val="24"/>
          <w:lang w:val="en-US"/>
        </w:rPr>
        <w:t>CAA</w:t>
      </w:r>
      <w:r w:rsidRPr="00AD3643">
        <w:rPr>
          <w:rFonts w:ascii="Times New Roman" w:hAnsi="Times New Roman" w:cs="Times New Roman"/>
          <w:sz w:val="24"/>
          <w:szCs w:val="24"/>
          <w:lang w:val="en-US"/>
        </w:rPr>
        <w:t xml:space="preserve"> Form 2 apply.</w:t>
      </w:r>
    </w:p>
    <w:p w14:paraId="10FDAED7" w14:textId="34D5DFCC" w:rsidR="00E52167" w:rsidRPr="00AD3643" w:rsidRDefault="00E52167" w:rsidP="00C95D06">
      <w:pPr>
        <w:pStyle w:val="Heading2"/>
        <w:spacing w:after="0"/>
        <w:jc w:val="both"/>
        <w:rPr>
          <w:rFonts w:ascii="Times New Roman" w:hAnsi="Times New Roman" w:cs="Times New Roman"/>
          <w:sz w:val="24"/>
          <w:szCs w:val="24"/>
          <w:lang w:val="en-US"/>
        </w:rPr>
      </w:pPr>
      <w:bookmarkStart w:id="406" w:name="toc_sec_0199"/>
      <w:bookmarkStart w:id="407" w:name="_Toc241066212"/>
      <w:r w:rsidRPr="00AD3643">
        <w:rPr>
          <w:rFonts w:ascii="Times New Roman" w:hAnsi="Times New Roman" w:cs="Times New Roman"/>
          <w:sz w:val="24"/>
          <w:szCs w:val="24"/>
          <w:lang w:val="en-US"/>
        </w:rPr>
        <w:t>Appendix IV to AMC5 145.A.30(e) and AMC2 145.B.200(a)(3) - Fuel Tank Safety Training</w:t>
      </w:r>
      <w:bookmarkEnd w:id="406"/>
      <w:bookmarkEnd w:id="407"/>
    </w:p>
    <w:p w14:paraId="6F291F1B"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This appendix includes general instructions for providing training on fuel tank safety issues.</w:t>
      </w:r>
    </w:p>
    <w:p w14:paraId="179B471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Effectivity:</w:t>
      </w:r>
    </w:p>
    <w:p w14:paraId="3B02458C" w14:textId="2345289D"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Large aeroplanes as defined in (CS-25) and certified after 1 January 1958 with a maximum type certified passenger capacity of 30 or more or a maximum certified payload capacity of 7500 lbs (3402 kg) cargo or more, and</w:t>
      </w:r>
    </w:p>
    <w:p w14:paraId="6132D4B0" w14:textId="2F33C8CE"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Large aeroplanes as defined in (CS-25) which contains CS-25 amendment 1 or later in their certification basis.</w:t>
      </w:r>
    </w:p>
    <w:p w14:paraId="7616530E"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Affected organisations:</w:t>
      </w:r>
    </w:p>
    <w:p w14:paraId="517D283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Part-145 approved maintenance organisations involved in the maintenance of aeroplanes specified in paragraph A) and fuel system components installed on such aeroplanes when the maintenance data are affected by CDCCL.</w:t>
      </w:r>
    </w:p>
    <w:p w14:paraId="497D723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Competent authorities that are responsible for the oversight of the Part-145 approved organisations specified in this paragraph B).</w:t>
      </w:r>
    </w:p>
    <w:p w14:paraId="6C93A1D0"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Persons from affected organisations who should receive training: Phase 1 only:</w:t>
      </w:r>
    </w:p>
    <w:p w14:paraId="76B38FB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group of persons representing the maintenance management structure of the organisation, the compliance monitoring manager, the safety manager and the staff who are directly involved in monitoring the compliance of the organisation.</w:t>
      </w:r>
    </w:p>
    <w:p w14:paraId="619E242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Personnel of the competent authorities who are responsible for the oversight of Part-145 approved maintenance organisations specified in paragraph B). Phase 1 + Phase 2 + recurrent training:</w:t>
      </w:r>
    </w:p>
    <w:p w14:paraId="0ADD7B3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Personnel of the Part-145 approved maintenance organisation who are required to plan, perform, supervise, inspect and certify the maintenance of the aircraft and fuel system components specified in paragraph A).</w:t>
      </w:r>
    </w:p>
    <w:p w14:paraId="6DCD4D77" w14:textId="52439C3F"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D.    General requirements of the training courses Phase 1 – Awareness: The training should be carried out before the person starts to work without supervision but not later than 6 months after joining the organisation. The persons who have already attended the Level 1 Familiarisation course in </w:t>
      </w:r>
      <w:r w:rsidRPr="00AD3643">
        <w:rPr>
          <w:rFonts w:ascii="Times New Roman" w:hAnsi="Times New Roman" w:cs="Times New Roman"/>
          <w:sz w:val="24"/>
          <w:szCs w:val="24"/>
          <w:lang w:val="en-US"/>
        </w:rPr>
        <w:lastRenderedPageBreak/>
        <w:t xml:space="preserve">compliance with </w:t>
      </w:r>
      <w:r w:rsidR="0033758D">
        <w:rPr>
          <w:rFonts w:ascii="Times New Roman" w:hAnsi="Times New Roman" w:cs="Times New Roman"/>
          <w:sz w:val="24"/>
          <w:szCs w:val="24"/>
          <w:lang w:val="en-US"/>
        </w:rPr>
        <w:t>GD 465/2025</w:t>
      </w:r>
      <w:r w:rsidRPr="00AD3643">
        <w:rPr>
          <w:rFonts w:ascii="Times New Roman" w:hAnsi="Times New Roman" w:cs="Times New Roman"/>
          <w:sz w:val="24"/>
          <w:szCs w:val="24"/>
          <w:lang w:val="en-US"/>
        </w:rPr>
        <w:t xml:space="preserve"> Appendix IV are already in compliance with Phase 1. Type: It should provide awareness of the principal elements of the subject. It may take the form of a training bulletin, or any other self-study or informative session. The signature of the trainer is required to ensure that the person has passed the training. Level: It should be a course at the level of familiarisation with the principal elements of the subject. Objectives: The trainee should, after the completion of the training:</w:t>
      </w:r>
    </w:p>
    <w:p w14:paraId="7821AF8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be familiar with the basic elements of the fuel tank safety issues,</w:t>
      </w:r>
    </w:p>
    <w:p w14:paraId="3F58FF5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be able to give a simple description of the historical background and the elements requiring a safety consideration, using common words and showing examples of non-conformities,</w:t>
      </w:r>
    </w:p>
    <w:p w14:paraId="54490A0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3.     be able to use typical terms. Content: The course should include:</w:t>
      </w:r>
    </w:p>
    <w:p w14:paraId="111231F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short background showing examples of FTS accidents or incidents,</w:t>
      </w:r>
    </w:p>
    <w:p w14:paraId="02149E6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description of concept of fuel tank safety and CDCCL,</w:t>
      </w:r>
    </w:p>
    <w:p w14:paraId="6C0D0FE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some examples of manufacturers documents showing CDCCL items,</w:t>
      </w:r>
    </w:p>
    <w:p w14:paraId="4C273BB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typical examples of FTS defects,</w:t>
      </w:r>
    </w:p>
    <w:p w14:paraId="182B2B4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some examples of TC holders repair data,</w:t>
      </w:r>
    </w:p>
    <w:p w14:paraId="3E578429" w14:textId="3264FE01" w:rsidR="00E52167" w:rsidRPr="00AD3643" w:rsidRDefault="00E52167" w:rsidP="0008591E">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some examples of maintenance instructions for inspection. Phase 2 – Detailed training A flexible period may be allowed by the competent authorities to allow organisations to set up the necessary courses and provide the training to the personnel, taking into account the organisation’s training schemes/means/practices. This flexible period should not extend beyond 31 December 2010. The persons who have already attended the Level 2 Detailed training course in compliance </w:t>
      </w:r>
      <w:r w:rsidRPr="0008591E">
        <w:rPr>
          <w:rFonts w:ascii="Times New Roman" w:hAnsi="Times New Roman" w:cs="Times New Roman"/>
          <w:sz w:val="24"/>
          <w:szCs w:val="24"/>
          <w:lang w:val="en-US"/>
        </w:rPr>
        <w:t>with</w:t>
      </w:r>
      <w:r w:rsidR="0008591E" w:rsidRPr="0008591E">
        <w:rPr>
          <w:rFonts w:ascii="Times New Roman" w:hAnsi="Times New Roman" w:cs="Times New Roman"/>
          <w:sz w:val="24"/>
          <w:szCs w:val="24"/>
          <w:lang w:val="en-US"/>
        </w:rPr>
        <w:t xml:space="preserve"> GD 465/2025</w:t>
      </w:r>
      <w:r w:rsidRPr="0008591E">
        <w:rPr>
          <w:rFonts w:ascii="Times New Roman" w:hAnsi="Times New Roman" w:cs="Times New Roman"/>
          <w:sz w:val="24"/>
          <w:szCs w:val="24"/>
          <w:lang w:val="en-US"/>
        </w:rPr>
        <w:t xml:space="preserve"> Appendix IV either from a Part-145 maintenance organisation or from a Part-147 training organisation are already in compliance with Phase 2 with the exception of recurrent training. Staff should have received Phase 2 training by 31 December 2010 or within 12 months of joining the organisation, whichever comes later. Type: It should be a more in-depth internal or external course. It should not take the form of a training bulletin, or any other self-study. At the end of the course, the trainees should be required to take an examination, which should be in the form of multiple-choice questions, and the pass mark of the examination should be 75%. Level: It should be a detailed course on the theoretical and practical elements of the subject. The training may be made either:</w:t>
      </w:r>
    </w:p>
    <w:p w14:paraId="3E75F55B"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in appropriate facilities containing examples of components, systems and parts affected by Fuel Tank Safety (FTS) issues. The use of films, pictures and practical examples on FTS is recommended; or</w:t>
      </w:r>
    </w:p>
    <w:p w14:paraId="4E52837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by attending a distance course (e-learning or computer based training) including a film when such film meets the intent of the objectives and content here below. An e-learning or computer based training should meet the following criteria:</w:t>
      </w:r>
    </w:p>
    <w:p w14:paraId="4E8968A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A continuous evaluation process should ensure the effectiveness of the training and its relevance;</w:t>
      </w:r>
    </w:p>
    <w:p w14:paraId="0880D05F"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Some questions at intermediate steps of the training should be proposed to ensure that the trainee is authorized to move to the next step;</w:t>
      </w:r>
    </w:p>
    <w:p w14:paraId="50C6901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The content and results of examinations should be recorded;</w:t>
      </w:r>
    </w:p>
    <w:p w14:paraId="6C92E2C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xml:space="preserve">-       Access to an instructor in person or at distance should be possible in case support is needed. A duration of 8 hours for phase 2 is an acceptable compliance. When the course is provided in a classroom, the instructor should be very familiar with the data in Objectives and Guidelines. To be familiar, an instructor should have attended himself a similar course in a classroom and made </w:t>
      </w:r>
      <w:r w:rsidRPr="00AD3643">
        <w:rPr>
          <w:rFonts w:ascii="Times New Roman" w:hAnsi="Times New Roman" w:cs="Times New Roman"/>
          <w:sz w:val="24"/>
          <w:szCs w:val="24"/>
          <w:lang w:val="en-US"/>
        </w:rPr>
        <w:lastRenderedPageBreak/>
        <w:t>additionally some lecture of related subjects. Objectives: The attendant should, after the completion of the training:</w:t>
      </w:r>
    </w:p>
    <w:p w14:paraId="5A12C20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have knowledge of the history of events related to fuel tank safety issues and the theoretical and practical elements of the subject, have an overview of the FAA regulations known as SFAR (Special FAR) 88 of the FAA and of JAA Temporary Guidance Leaflet TGL 47, be able to give a detailed description of the concept of fuel tank system ALI (including Critical Design Configuration Control Limitations CDCCL, and using theoretical fundamentals and specific examples;</w:t>
      </w:r>
    </w:p>
    <w:p w14:paraId="1CA9BF24"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have the capacity to combine and apply the separate elements of knowledge in a logical and comprehensive manner;</w:t>
      </w:r>
    </w:p>
    <w:p w14:paraId="3716779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have knowledge on how the above items affect the aircraft;</w:t>
      </w:r>
    </w:p>
    <w:p w14:paraId="73F66F1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be able to identify the components or parts or the aircraft subject to FTS from the manufacturer’s documentation,</w:t>
      </w:r>
    </w:p>
    <w:p w14:paraId="50117929"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       be able to plan the action or apply a Service Bulletin and an Airworthiness Directive. Content: Following the guidelines described in paragraph E). Recurrent training: The organisation should ensure that the recurrent training is required in each 2-year</w:t>
      </w:r>
    </w:p>
    <w:p w14:paraId="4961FAA0"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period. The syllabus of the training programme referred to in Chapter 3.9 of the maintenance organisation exposition (MOE) should include the additional syllabus for this recurrent training. The continuation training may be combined with the phase 2 training in a classroom or at distance. The continuing training should be updated when new instruction are issued which are related to the material, tools, documentation and manufacturer’s or competent authority’s directives.</w:t>
      </w:r>
    </w:p>
    <w:p w14:paraId="4ED8B912"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E.   Guidelines for preparing the content of Phase 2 courses. The following guidelines should be taken into consideration when the phase 2 training programme are being established:</w:t>
      </w:r>
    </w:p>
    <w:p w14:paraId="6B40C56C"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(a)   understanding of the background and the concept of fuel tank safety,</w:t>
      </w:r>
    </w:p>
    <w:p w14:paraId="2EE2B0E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(b)   how the mechanics can recognise, interpret and handle the improvements in the instruction for continuing airworthiness that have been made or are being made regarding the fuel tank system maintenance,</w:t>
      </w:r>
    </w:p>
    <w:p w14:paraId="49AA552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(c)   awareness of any hazards especially when working on the fuel system, and when the Flammability Reduction System using nitrogen is installed.</w:t>
      </w:r>
    </w:p>
    <w:p w14:paraId="2690B57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Paragraphs a), b) and c) above should be introduced in the training programme addressing the following issues:</w:t>
      </w:r>
    </w:p>
    <w:p w14:paraId="188DA3D1"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     The theoretical background behind the risk of fuel tank safety: the explosions of mixtures of fuel and air, the behaviour of those mixtures in an aviation environment, the effects of temperature and pressure, energy needed for ignition etc, the ‘fire triangle’, - Explain 2 concepts to prevent explosions:</w:t>
      </w:r>
    </w:p>
    <w:p w14:paraId="0CD254C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(1)   ignition source prevention and</w:t>
      </w:r>
    </w:p>
    <w:p w14:paraId="7C0A430E"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(2)   flammability reduction,</w:t>
      </w:r>
    </w:p>
    <w:p w14:paraId="30BB7336"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    The major accidents related to fuel tank systems, the accident investigations and their conclusions,</w:t>
      </w:r>
    </w:p>
    <w:p w14:paraId="223FB3A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(iii)   SFAR 88 of the FAA and JAA Interim Policy INT POL 25/12: ignition prevention program initiatives and goals, to identify unsafe conditions and to correct them, to systematically improve fuel tank maintenance),</w:t>
      </w:r>
    </w:p>
    <w:p w14:paraId="00DC3A75"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(iv)    Explain the briefly concepts that are being used: the results of SFAR 88 of the FAA and JAA INT/POL 25/12: modifications, airworthiness limitations items and CDCCL,</w:t>
      </w:r>
    </w:p>
    <w:p w14:paraId="1BBB48BD"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lastRenderedPageBreak/>
        <w:t>(v)     Where relevant information can be found and how to use and interpret this information in the applicable maintenance data as defined in 145.A.45(b),</w:t>
      </w:r>
    </w:p>
    <w:p w14:paraId="7AE230E8"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(vi)    Fuel Tank Safety during maintenance: fuel tank entry and exit procedures, clean working environment, what is meant by configuration control, wire separation, bonding of components etc,</w:t>
      </w:r>
    </w:p>
    <w:p w14:paraId="527B2D1A"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(vii)   Flammability reduction systems when installed: reason for their presence, their effects, the hazards of an FRS using nitrogen for maintenance, safety precautions in maintenance/working with an FRS,</w:t>
      </w:r>
    </w:p>
    <w:p w14:paraId="5A7E2792" w14:textId="77777777" w:rsidR="00E52167" w:rsidRPr="00AD3643" w:rsidRDefault="00E52167" w:rsidP="00C95D06">
      <w:pPr>
        <w:spacing w:after="0"/>
        <w:ind w:left="173"/>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(viii) Recording maintenance actions, recording measures and results of inspections. The training should include a representative number of examples of defects and the associated repairs as required by the TC/STC holders’ maintenance data.</w:t>
      </w:r>
    </w:p>
    <w:p w14:paraId="34C0DFCF" w14:textId="77777777" w:rsidR="00E52167" w:rsidRPr="00AD3643" w:rsidRDefault="00E52167" w:rsidP="00C95D06">
      <w:pPr>
        <w:spacing w:after="0"/>
        <w:jc w:val="both"/>
        <w:rPr>
          <w:rFonts w:ascii="Times New Roman" w:hAnsi="Times New Roman" w:cs="Times New Roman"/>
          <w:sz w:val="24"/>
          <w:szCs w:val="24"/>
          <w:lang w:val="en-US"/>
        </w:rPr>
      </w:pPr>
      <w:r w:rsidRPr="00AD3643">
        <w:rPr>
          <w:rFonts w:ascii="Times New Roman" w:hAnsi="Times New Roman" w:cs="Times New Roman"/>
          <w:sz w:val="24"/>
          <w:szCs w:val="24"/>
          <w:lang w:val="en-US"/>
        </w:rPr>
        <w:t>F.   Approval of training For Part-145 approved organisations, the approval of the initial and continuation training programme and the content of the examination can be achieved by the change to the MOE. The necessary changes to the MOE to meet the content of this decision should be made and implemented at the time requested by the competent authority.</w:t>
      </w:r>
    </w:p>
    <w:p w14:paraId="76C31CF6" w14:textId="39B069BA" w:rsidR="0035350F" w:rsidRPr="00AD3643" w:rsidRDefault="0035350F" w:rsidP="00C95D06">
      <w:pPr>
        <w:spacing w:after="0" w:line="0" w:lineRule="atLeast"/>
        <w:jc w:val="both"/>
        <w:rPr>
          <w:rFonts w:ascii="Times New Roman" w:eastAsia="Times New Roman" w:hAnsi="Times New Roman" w:cs="Times New Roman"/>
          <w:color w:val="FF0000"/>
          <w:sz w:val="24"/>
          <w:szCs w:val="24"/>
          <w:lang w:val="en-US"/>
        </w:rPr>
      </w:pPr>
    </w:p>
    <w:sectPr w:rsidR="0035350F" w:rsidRPr="00AD3643" w:rsidSect="00B3715C">
      <w:headerReference w:type="default" r:id="rId10"/>
      <w:footerReference w:type="default" r:id="rId11"/>
      <w:footnotePr>
        <w:numRestart w:val="eachPage"/>
      </w:footnotePr>
      <w:pgSz w:w="11906" w:h="16838" w:code="9"/>
      <w:pgMar w:top="1135" w:right="566" w:bottom="1134" w:left="1701"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A8D7A" w14:textId="77777777" w:rsidR="000620E4" w:rsidRPr="00CE1F63" w:rsidRDefault="000620E4">
      <w:pPr>
        <w:spacing w:after="0" w:line="240" w:lineRule="auto"/>
      </w:pPr>
      <w:r w:rsidRPr="00CE1F63">
        <w:separator/>
      </w:r>
    </w:p>
  </w:endnote>
  <w:endnote w:type="continuationSeparator" w:id="0">
    <w:p w14:paraId="2BCF175D" w14:textId="77777777" w:rsidR="000620E4" w:rsidRPr="00CE1F63" w:rsidRDefault="000620E4">
      <w:pPr>
        <w:spacing w:after="0" w:line="240" w:lineRule="auto"/>
      </w:pPr>
      <w:r w:rsidRPr="00CE1F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font>
  <w:font w:name="Calibri-Italic">
    <w:altName w:val="Times New Roman"/>
    <w:panose1 w:val="00000000000000000000"/>
    <w:charset w:val="00"/>
    <w:family w:val="roman"/>
    <w:notTrueType/>
    <w:pitch w:val="default"/>
  </w:font>
  <w:font w:name="Calibri-BoldItalic">
    <w:altName w:val="Times New Roman"/>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846F14" w:rsidRPr="00232499" w14:paraId="072164DB" w14:textId="77777777" w:rsidTr="00D13B15">
      <w:trPr>
        <w:trHeight w:val="470"/>
        <w:jc w:val="center"/>
      </w:trPr>
      <w:tc>
        <w:tcPr>
          <w:tcW w:w="1702" w:type="dxa"/>
          <w:vAlign w:val="center"/>
        </w:tcPr>
        <w:p w14:paraId="64E53166" w14:textId="3FFF1237" w:rsidR="00846F14" w:rsidRPr="00232499" w:rsidRDefault="00907E9E" w:rsidP="00D011BA">
          <w:pPr>
            <w:tabs>
              <w:tab w:val="center" w:pos="4320"/>
              <w:tab w:val="right" w:pos="8640"/>
            </w:tabs>
            <w:spacing w:after="0" w:line="240" w:lineRule="auto"/>
            <w:jc w:val="center"/>
            <w:rPr>
              <w:rFonts w:ascii="Times New Roman" w:eastAsia="Times New Roman" w:hAnsi="Times New Roman" w:cs="Times New Roman"/>
              <w:noProof w:val="0"/>
              <w:sz w:val="20"/>
              <w:szCs w:val="20"/>
              <w:lang w:val="ro-RO" w:eastAsia="en-US"/>
            </w:rPr>
          </w:pPr>
          <w:r>
            <w:rPr>
              <w:rFonts w:ascii="Times New Roman" w:eastAsia="Times New Roman" w:hAnsi="Times New Roman" w:cs="Times New Roman"/>
              <w:noProof w:val="0"/>
              <w:sz w:val="20"/>
              <w:szCs w:val="20"/>
              <w:lang w:val="ro-RO" w:eastAsia="en-US"/>
            </w:rPr>
            <w:t>Septembrie</w:t>
          </w:r>
          <w:r w:rsidR="00846F14" w:rsidRPr="00232499">
            <w:rPr>
              <w:rFonts w:ascii="Times New Roman" w:eastAsia="Times New Roman" w:hAnsi="Times New Roman" w:cs="Times New Roman"/>
              <w:noProof w:val="0"/>
              <w:sz w:val="20"/>
              <w:szCs w:val="20"/>
              <w:lang w:val="ro-RO" w:eastAsia="en-US"/>
            </w:rPr>
            <w:t xml:space="preserve"> 202</w:t>
          </w:r>
          <w:r w:rsidR="00DE4684">
            <w:rPr>
              <w:rFonts w:ascii="Times New Roman" w:eastAsia="Times New Roman" w:hAnsi="Times New Roman" w:cs="Times New Roman"/>
              <w:noProof w:val="0"/>
              <w:sz w:val="20"/>
              <w:szCs w:val="20"/>
              <w:lang w:val="ro-RO" w:eastAsia="en-US"/>
            </w:rPr>
            <w:t>6</w:t>
          </w:r>
        </w:p>
      </w:tc>
      <w:tc>
        <w:tcPr>
          <w:tcW w:w="6520" w:type="dxa"/>
          <w:vAlign w:val="center"/>
        </w:tcPr>
        <w:p w14:paraId="47A4FC1B" w14:textId="77777777" w:rsidR="00846F14" w:rsidRPr="00232499" w:rsidRDefault="00846F14" w:rsidP="00D011BA">
          <w:pPr>
            <w:tabs>
              <w:tab w:val="center" w:pos="4320"/>
              <w:tab w:val="right" w:pos="8640"/>
            </w:tabs>
            <w:spacing w:after="0" w:line="240" w:lineRule="auto"/>
            <w:jc w:val="center"/>
            <w:rPr>
              <w:rFonts w:ascii="Times New Roman" w:eastAsia="Times New Roman" w:hAnsi="Times New Roman" w:cs="Times New Roman"/>
              <w:noProof w:val="0"/>
              <w:sz w:val="20"/>
              <w:szCs w:val="20"/>
              <w:lang w:val="ro-RO" w:eastAsia="en-US"/>
            </w:rPr>
          </w:pPr>
        </w:p>
      </w:tc>
      <w:tc>
        <w:tcPr>
          <w:tcW w:w="1701" w:type="dxa"/>
          <w:vAlign w:val="center"/>
        </w:tcPr>
        <w:p w14:paraId="1F6880C9" w14:textId="77777777" w:rsidR="00846F14" w:rsidRPr="00232499" w:rsidRDefault="00846F14" w:rsidP="00D011BA">
          <w:pPr>
            <w:tabs>
              <w:tab w:val="center" w:pos="4320"/>
              <w:tab w:val="right" w:pos="8640"/>
            </w:tabs>
            <w:spacing w:after="0" w:line="240" w:lineRule="auto"/>
            <w:ind w:left="-104" w:right="-105"/>
            <w:jc w:val="center"/>
            <w:rPr>
              <w:rFonts w:ascii="Times New Roman" w:eastAsia="Times New Roman" w:hAnsi="Times New Roman" w:cs="Times New Roman"/>
              <w:noProof w:val="0"/>
              <w:sz w:val="20"/>
              <w:szCs w:val="20"/>
              <w:lang w:val="ro-RO" w:eastAsia="en-US"/>
            </w:rPr>
          </w:pPr>
          <w:r w:rsidRPr="00232499">
            <w:rPr>
              <w:rFonts w:ascii="Times New Roman" w:eastAsia="Times New Roman" w:hAnsi="Times New Roman" w:cs="Times New Roman"/>
              <w:noProof w:val="0"/>
              <w:sz w:val="20"/>
              <w:szCs w:val="20"/>
              <w:lang w:val="ro-RO" w:eastAsia="en-US"/>
            </w:rPr>
            <w:t>Ediția      01</w:t>
          </w:r>
        </w:p>
      </w:tc>
    </w:tr>
  </w:tbl>
  <w:p w14:paraId="425F4319" w14:textId="77777777" w:rsidR="00846F14" w:rsidRPr="00CE1F63" w:rsidRDefault="00846F14" w:rsidP="00006497">
    <w:pP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FF517" w14:textId="77777777" w:rsidR="000620E4" w:rsidRPr="00CE1F63" w:rsidRDefault="000620E4">
      <w:pPr>
        <w:spacing w:after="0" w:line="240" w:lineRule="auto"/>
      </w:pPr>
      <w:r w:rsidRPr="00CE1F63">
        <w:separator/>
      </w:r>
    </w:p>
  </w:footnote>
  <w:footnote w:type="continuationSeparator" w:id="0">
    <w:p w14:paraId="4DE93DA5" w14:textId="77777777" w:rsidR="000620E4" w:rsidRPr="00CE1F63" w:rsidRDefault="000620E4">
      <w:pPr>
        <w:spacing w:after="0" w:line="240" w:lineRule="auto"/>
      </w:pPr>
      <w:r w:rsidRPr="00CE1F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6520"/>
      <w:gridCol w:w="1559"/>
    </w:tblGrid>
    <w:tr w:rsidR="00846F14" w:rsidRPr="00CE1F63" w14:paraId="54825A2F" w14:textId="77777777" w:rsidTr="00E26484">
      <w:trPr>
        <w:trHeight w:val="275"/>
      </w:trPr>
      <w:tc>
        <w:tcPr>
          <w:tcW w:w="1844" w:type="dxa"/>
          <w:vMerge w:val="restart"/>
          <w:vAlign w:val="center"/>
        </w:tcPr>
        <w:p w14:paraId="18A94D75" w14:textId="2CB7F9A0" w:rsidR="00846F14" w:rsidRPr="00CE1F63" w:rsidRDefault="00846F14" w:rsidP="00A528F4">
          <w:pPr>
            <w:pStyle w:val="Header"/>
            <w:tabs>
              <w:tab w:val="clear" w:pos="9355"/>
              <w:tab w:val="right" w:pos="3544"/>
            </w:tabs>
            <w:jc w:val="center"/>
            <w:rPr>
              <w:rFonts w:cs="Times New Roman"/>
            </w:rPr>
          </w:pPr>
          <w:r w:rsidRPr="00232499">
            <w:rPr>
              <w:rFonts w:ascii="Times New Roman" w:eastAsia="Times New Roman" w:hAnsi="Times New Roman" w:cs="Times New Roman"/>
              <w:sz w:val="20"/>
              <w:szCs w:val="20"/>
            </w:rPr>
            <w:drawing>
              <wp:inline distT="0" distB="0" distL="0" distR="0" wp14:anchorId="28F032C9" wp14:editId="21D923AF">
                <wp:extent cx="447040" cy="514350"/>
                <wp:effectExtent l="0" t="0" r="0" b="0"/>
                <wp:docPr id="1076817365" name="Picture 1076817365"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520" w:type="dxa"/>
          <w:vMerge w:val="restart"/>
          <w:vAlign w:val="center"/>
        </w:tcPr>
        <w:p w14:paraId="320D3581" w14:textId="1F5AC765" w:rsidR="00846F14" w:rsidRPr="007F7C8A" w:rsidRDefault="00846F14" w:rsidP="00104526">
          <w:pPr>
            <w:spacing w:after="0" w:line="180" w:lineRule="exact"/>
            <w:contextualSpacing/>
            <w:jc w:val="center"/>
            <w:rPr>
              <w:rFonts w:ascii="Times New Roman" w:hAnsi="Times New Roman" w:cs="Times New Roman"/>
              <w:b/>
              <w:sz w:val="20"/>
              <w:szCs w:val="20"/>
              <w:lang w:val="en-US"/>
            </w:rPr>
          </w:pPr>
          <w:r w:rsidRPr="00F257A8">
            <w:rPr>
              <w:rFonts w:ascii="Times New Roman" w:hAnsi="Times New Roman" w:cs="Times New Roman"/>
              <w:sz w:val="20"/>
              <w:szCs w:val="20"/>
              <w:lang w:val="it-IT"/>
            </w:rPr>
            <w:t>Mijloace</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acceptabile</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de</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punere</w:t>
          </w:r>
          <w:r w:rsidRPr="007F7C8A">
            <w:rPr>
              <w:rFonts w:ascii="Times New Roman" w:hAnsi="Times New Roman" w:cs="Times New Roman"/>
              <w:sz w:val="20"/>
              <w:szCs w:val="20"/>
              <w:lang w:val="en-US"/>
            </w:rPr>
            <w:t xml:space="preserve"> î</w:t>
          </w:r>
          <w:r w:rsidRPr="00F257A8">
            <w:rPr>
              <w:rFonts w:ascii="Times New Roman" w:hAnsi="Times New Roman" w:cs="Times New Roman"/>
              <w:sz w:val="20"/>
              <w:szCs w:val="20"/>
              <w:lang w:val="it-IT"/>
            </w:rPr>
            <w:t>n</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conformitate</w:t>
          </w:r>
          <w:r w:rsidRPr="007F7C8A">
            <w:rPr>
              <w:rFonts w:ascii="Times New Roman" w:hAnsi="Times New Roman" w:cs="Times New Roman"/>
              <w:sz w:val="20"/>
              <w:szCs w:val="20"/>
              <w:lang w:val="en-US"/>
            </w:rPr>
            <w:t xml:space="preserve"> ș</w:t>
          </w:r>
          <w:r w:rsidRPr="00F257A8">
            <w:rPr>
              <w:rFonts w:ascii="Times New Roman" w:hAnsi="Times New Roman" w:cs="Times New Roman"/>
              <w:sz w:val="20"/>
              <w:szCs w:val="20"/>
              <w:lang w:val="it-IT"/>
            </w:rPr>
            <w:t>i</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materiale</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de</w:t>
          </w:r>
          <w:r w:rsidRPr="007F7C8A">
            <w:rPr>
              <w:rFonts w:ascii="Times New Roman" w:hAnsi="Times New Roman" w:cs="Times New Roman"/>
              <w:sz w:val="20"/>
              <w:szCs w:val="20"/>
              <w:lang w:val="en-US"/>
            </w:rPr>
            <w:t xml:space="preserve"> î</w:t>
          </w:r>
          <w:r w:rsidRPr="00F257A8">
            <w:rPr>
              <w:rFonts w:ascii="Times New Roman" w:hAnsi="Times New Roman" w:cs="Times New Roman"/>
              <w:sz w:val="20"/>
              <w:szCs w:val="20"/>
              <w:lang w:val="it-IT"/>
            </w:rPr>
            <w:t>ndrumare</w:t>
          </w:r>
          <w:r w:rsidRPr="007F7C8A">
            <w:rPr>
              <w:rFonts w:ascii="Times New Roman" w:hAnsi="Times New Roman" w:cs="Times New Roman"/>
              <w:sz w:val="20"/>
              <w:szCs w:val="20"/>
              <w:lang w:val="en-US"/>
            </w:rPr>
            <w:t xml:space="preserve"> </w:t>
          </w:r>
          <w:r w:rsidRPr="009B603F">
            <w:rPr>
              <w:rFonts w:ascii="Times New Roman" w:hAnsi="Times New Roman" w:cs="Times New Roman"/>
              <w:bCs/>
              <w:sz w:val="20"/>
              <w:szCs w:val="20"/>
              <w:lang w:val="ro-RO"/>
            </w:rPr>
            <w:t>la</w:t>
          </w:r>
          <w:r w:rsidRPr="00104526">
            <w:rPr>
              <w:rFonts w:ascii="Times New Roman" w:hAnsi="Times New Roman" w:cs="Times New Roman"/>
              <w:b/>
              <w:sz w:val="20"/>
              <w:szCs w:val="20"/>
              <w:lang w:val="ro-RO"/>
            </w:rPr>
            <w:t xml:space="preserve"> </w:t>
          </w:r>
          <w:r w:rsidRPr="00F257A8">
            <w:rPr>
              <w:rFonts w:ascii="Times New Roman" w:hAnsi="Times New Roman" w:cs="Times New Roman"/>
              <w:sz w:val="20"/>
              <w:szCs w:val="20"/>
              <w:lang w:val="it-IT"/>
            </w:rPr>
            <w:t>Regulamentul</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privind</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continuitatea</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navigabilit</w:t>
          </w:r>
          <w:r w:rsidRPr="007F7C8A">
            <w:rPr>
              <w:rFonts w:ascii="Times New Roman" w:hAnsi="Times New Roman" w:cs="Times New Roman"/>
              <w:sz w:val="20"/>
              <w:szCs w:val="20"/>
              <w:lang w:val="en-US"/>
            </w:rPr>
            <w:t>ăț</w:t>
          </w:r>
          <w:r w:rsidRPr="00F257A8">
            <w:rPr>
              <w:rFonts w:ascii="Times New Roman" w:hAnsi="Times New Roman" w:cs="Times New Roman"/>
              <w:sz w:val="20"/>
              <w:szCs w:val="20"/>
              <w:lang w:val="it-IT"/>
            </w:rPr>
            <w:t>ii</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aeronavelor</w:t>
          </w:r>
          <w:r w:rsidRPr="007F7C8A">
            <w:rPr>
              <w:rFonts w:ascii="Times New Roman" w:hAnsi="Times New Roman" w:cs="Times New Roman"/>
              <w:sz w:val="20"/>
              <w:szCs w:val="20"/>
              <w:lang w:val="en-US"/>
            </w:rPr>
            <w:t xml:space="preserve"> ș</w:t>
          </w:r>
          <w:r w:rsidRPr="00F257A8">
            <w:rPr>
              <w:rFonts w:ascii="Times New Roman" w:hAnsi="Times New Roman" w:cs="Times New Roman"/>
              <w:sz w:val="20"/>
              <w:szCs w:val="20"/>
              <w:lang w:val="it-IT"/>
            </w:rPr>
            <w:t>i</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a</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produselor</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reperelor</w:t>
          </w:r>
          <w:r w:rsidRPr="007F7C8A">
            <w:rPr>
              <w:rFonts w:ascii="Times New Roman" w:hAnsi="Times New Roman" w:cs="Times New Roman"/>
              <w:sz w:val="20"/>
              <w:szCs w:val="20"/>
              <w:lang w:val="en-US"/>
            </w:rPr>
            <w:t xml:space="preserve"> ș</w:t>
          </w:r>
          <w:r w:rsidRPr="00F257A8">
            <w:rPr>
              <w:rFonts w:ascii="Times New Roman" w:hAnsi="Times New Roman" w:cs="Times New Roman"/>
              <w:sz w:val="20"/>
              <w:szCs w:val="20"/>
              <w:lang w:val="it-IT"/>
            </w:rPr>
            <w:t>i</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dispozitivelor</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aeronautice</w:t>
          </w:r>
          <w:r w:rsidRPr="007F7C8A">
            <w:rPr>
              <w:rFonts w:ascii="Times New Roman" w:hAnsi="Times New Roman" w:cs="Times New Roman"/>
              <w:sz w:val="20"/>
              <w:szCs w:val="20"/>
              <w:lang w:val="en-US"/>
            </w:rPr>
            <w:t xml:space="preserve"> ș</w:t>
          </w:r>
          <w:r w:rsidRPr="00F257A8">
            <w:rPr>
              <w:rFonts w:ascii="Times New Roman" w:hAnsi="Times New Roman" w:cs="Times New Roman"/>
              <w:sz w:val="20"/>
              <w:szCs w:val="20"/>
              <w:lang w:val="it-IT"/>
            </w:rPr>
            <w:t>i</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autorizarea</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organiza</w:t>
          </w:r>
          <w:r w:rsidRPr="007F7C8A">
            <w:rPr>
              <w:rFonts w:ascii="Times New Roman" w:hAnsi="Times New Roman" w:cs="Times New Roman"/>
              <w:sz w:val="20"/>
              <w:szCs w:val="20"/>
              <w:lang w:val="en-US"/>
            </w:rPr>
            <w:t>ț</w:t>
          </w:r>
          <w:r w:rsidRPr="00F257A8">
            <w:rPr>
              <w:rFonts w:ascii="Times New Roman" w:hAnsi="Times New Roman" w:cs="Times New Roman"/>
              <w:sz w:val="20"/>
              <w:szCs w:val="20"/>
              <w:lang w:val="it-IT"/>
            </w:rPr>
            <w:t>iilor</w:t>
          </w:r>
          <w:r w:rsidRPr="007F7C8A">
            <w:rPr>
              <w:rFonts w:ascii="Times New Roman" w:hAnsi="Times New Roman" w:cs="Times New Roman"/>
              <w:sz w:val="20"/>
              <w:szCs w:val="20"/>
              <w:lang w:val="en-US"/>
            </w:rPr>
            <w:t xml:space="preserve"> ș</w:t>
          </w:r>
          <w:r w:rsidRPr="00F257A8">
            <w:rPr>
              <w:rFonts w:ascii="Times New Roman" w:hAnsi="Times New Roman" w:cs="Times New Roman"/>
              <w:sz w:val="20"/>
              <w:szCs w:val="20"/>
              <w:lang w:val="it-IT"/>
            </w:rPr>
            <w:t>i</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a</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personalului</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cu</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atribu</w:t>
          </w:r>
          <w:r w:rsidRPr="007F7C8A">
            <w:rPr>
              <w:rFonts w:ascii="Times New Roman" w:hAnsi="Times New Roman" w:cs="Times New Roman"/>
              <w:sz w:val="20"/>
              <w:szCs w:val="20"/>
              <w:lang w:val="en-US"/>
            </w:rPr>
            <w:t>ț</w:t>
          </w:r>
          <w:r w:rsidRPr="00F257A8">
            <w:rPr>
              <w:rFonts w:ascii="Times New Roman" w:hAnsi="Times New Roman" w:cs="Times New Roman"/>
              <w:sz w:val="20"/>
              <w:szCs w:val="20"/>
              <w:lang w:val="it-IT"/>
            </w:rPr>
            <w:t>ii</w:t>
          </w:r>
          <w:r w:rsidRPr="007F7C8A">
            <w:rPr>
              <w:rFonts w:ascii="Times New Roman" w:hAnsi="Times New Roman" w:cs="Times New Roman"/>
              <w:sz w:val="20"/>
              <w:szCs w:val="20"/>
              <w:lang w:val="en-US"/>
            </w:rPr>
            <w:t xml:space="preserve"> î</w:t>
          </w:r>
          <w:r w:rsidRPr="00F257A8">
            <w:rPr>
              <w:rFonts w:ascii="Times New Roman" w:hAnsi="Times New Roman" w:cs="Times New Roman"/>
              <w:sz w:val="20"/>
              <w:szCs w:val="20"/>
              <w:lang w:val="it-IT"/>
            </w:rPr>
            <w:t>n</w:t>
          </w:r>
          <w:r w:rsidRPr="007F7C8A">
            <w:rPr>
              <w:rFonts w:ascii="Times New Roman" w:hAnsi="Times New Roman" w:cs="Times New Roman"/>
              <w:sz w:val="20"/>
              <w:szCs w:val="20"/>
              <w:lang w:val="en-US"/>
            </w:rPr>
            <w:t xml:space="preserve"> </w:t>
          </w:r>
          <w:r w:rsidRPr="00F257A8">
            <w:rPr>
              <w:rFonts w:ascii="Times New Roman" w:hAnsi="Times New Roman" w:cs="Times New Roman"/>
              <w:sz w:val="20"/>
              <w:szCs w:val="20"/>
              <w:lang w:val="it-IT"/>
            </w:rPr>
            <w:t>domeniu</w:t>
          </w:r>
        </w:p>
      </w:tc>
      <w:tc>
        <w:tcPr>
          <w:tcW w:w="1559" w:type="dxa"/>
          <w:tcBorders>
            <w:bottom w:val="single" w:sz="4" w:space="0" w:color="auto"/>
          </w:tcBorders>
          <w:vAlign w:val="center"/>
        </w:tcPr>
        <w:p w14:paraId="3FCA71F3" w14:textId="77777777" w:rsidR="00846F14" w:rsidRPr="008F72FF" w:rsidRDefault="00846F14" w:rsidP="00441033">
          <w:pPr>
            <w:pStyle w:val="Header"/>
            <w:jc w:val="center"/>
            <w:rPr>
              <w:rFonts w:ascii="Times New Roman" w:hAnsi="Times New Roman" w:cs="Times New Roman"/>
              <w:sz w:val="20"/>
              <w:szCs w:val="20"/>
            </w:rPr>
          </w:pPr>
          <w:r w:rsidRPr="008F72FF">
            <w:rPr>
              <w:rFonts w:ascii="Times New Roman" w:hAnsi="Times New Roman" w:cs="Times New Roman"/>
              <w:sz w:val="20"/>
              <w:szCs w:val="20"/>
            </w:rPr>
            <w:t xml:space="preserve">AAC </w:t>
          </w:r>
        </w:p>
      </w:tc>
    </w:tr>
    <w:tr w:rsidR="00846F14" w:rsidRPr="009429FA" w14:paraId="322165D7" w14:textId="77777777" w:rsidTr="008F72FF">
      <w:trPr>
        <w:trHeight w:val="460"/>
      </w:trPr>
      <w:tc>
        <w:tcPr>
          <w:tcW w:w="1844" w:type="dxa"/>
          <w:vMerge/>
          <w:vAlign w:val="center"/>
        </w:tcPr>
        <w:p w14:paraId="27CA8DEC" w14:textId="77777777" w:rsidR="00846F14" w:rsidRPr="00CE1F63" w:rsidRDefault="00846F14" w:rsidP="00441033">
          <w:pPr>
            <w:pStyle w:val="Header"/>
            <w:jc w:val="center"/>
            <w:rPr>
              <w:rFonts w:cs="Times New Roman"/>
            </w:rPr>
          </w:pPr>
        </w:p>
      </w:tc>
      <w:tc>
        <w:tcPr>
          <w:tcW w:w="6520" w:type="dxa"/>
          <w:vMerge/>
          <w:vAlign w:val="center"/>
        </w:tcPr>
        <w:p w14:paraId="20B37033" w14:textId="77777777" w:rsidR="00846F14" w:rsidRPr="00CE1F63" w:rsidRDefault="00846F14" w:rsidP="00441033">
          <w:pPr>
            <w:pStyle w:val="Header"/>
            <w:jc w:val="center"/>
            <w:rPr>
              <w:rFonts w:ascii="Times New Roman" w:hAnsi="Times New Roman" w:cs="Times New Roman"/>
              <w:sz w:val="24"/>
              <w:szCs w:val="24"/>
            </w:rPr>
          </w:pPr>
        </w:p>
      </w:tc>
      <w:tc>
        <w:tcPr>
          <w:tcW w:w="1559" w:type="dxa"/>
          <w:tcBorders>
            <w:top w:val="single" w:sz="4" w:space="0" w:color="auto"/>
            <w:bottom w:val="single" w:sz="4" w:space="0" w:color="auto"/>
          </w:tcBorders>
          <w:vAlign w:val="center"/>
        </w:tcPr>
        <w:p w14:paraId="1EE429B9" w14:textId="71AB55F6" w:rsidR="00846F14" w:rsidRPr="008F72FF" w:rsidRDefault="00846F14" w:rsidP="002B4659">
          <w:pPr>
            <w:pStyle w:val="Header"/>
            <w:jc w:val="center"/>
            <w:rPr>
              <w:rFonts w:ascii="Times New Roman" w:hAnsi="Times New Roman" w:cs="Times New Roman"/>
              <w:sz w:val="20"/>
              <w:szCs w:val="20"/>
              <w:lang w:val="en-US"/>
            </w:rPr>
          </w:pPr>
          <w:r w:rsidRPr="008F72FF">
            <w:rPr>
              <w:rFonts w:ascii="Times New Roman" w:hAnsi="Times New Roman" w:cs="Times New Roman"/>
              <w:sz w:val="20"/>
              <w:szCs w:val="20"/>
              <w:lang w:val="en-US"/>
            </w:rPr>
            <w:t xml:space="preserve">AMC&amp;GM - Partea </w:t>
          </w:r>
          <w:r w:rsidR="00907E9E">
            <w:rPr>
              <w:rFonts w:ascii="Times New Roman" w:hAnsi="Times New Roman" w:cs="Times New Roman"/>
              <w:sz w:val="20"/>
              <w:szCs w:val="20"/>
              <w:lang w:val="en-US"/>
            </w:rPr>
            <w:t>145</w:t>
          </w:r>
        </w:p>
      </w:tc>
    </w:tr>
    <w:tr w:rsidR="00846F14" w:rsidRPr="00CE1F63" w14:paraId="61C7B5D4" w14:textId="77777777" w:rsidTr="00E26484">
      <w:trPr>
        <w:trHeight w:val="229"/>
      </w:trPr>
      <w:tc>
        <w:tcPr>
          <w:tcW w:w="1844" w:type="dxa"/>
          <w:vMerge/>
          <w:vAlign w:val="center"/>
        </w:tcPr>
        <w:p w14:paraId="464CB575" w14:textId="77777777" w:rsidR="00846F14" w:rsidRPr="00E846DF" w:rsidRDefault="00846F14" w:rsidP="00441033">
          <w:pPr>
            <w:pStyle w:val="Header"/>
            <w:jc w:val="center"/>
            <w:rPr>
              <w:rFonts w:cs="Times New Roman"/>
              <w:lang w:val="en-US"/>
            </w:rPr>
          </w:pPr>
        </w:p>
      </w:tc>
      <w:tc>
        <w:tcPr>
          <w:tcW w:w="6520" w:type="dxa"/>
          <w:vMerge/>
          <w:vAlign w:val="center"/>
        </w:tcPr>
        <w:p w14:paraId="07DA26DE" w14:textId="77777777" w:rsidR="00846F14" w:rsidRPr="00E846DF" w:rsidRDefault="00846F14" w:rsidP="00441033">
          <w:pPr>
            <w:pStyle w:val="Header"/>
            <w:jc w:val="center"/>
            <w:rPr>
              <w:rFonts w:ascii="Times New Roman" w:hAnsi="Times New Roman" w:cs="Times New Roman"/>
              <w:sz w:val="24"/>
              <w:szCs w:val="24"/>
              <w:lang w:val="en-US"/>
            </w:rPr>
          </w:pPr>
        </w:p>
      </w:tc>
      <w:tc>
        <w:tcPr>
          <w:tcW w:w="1559" w:type="dxa"/>
          <w:tcBorders>
            <w:top w:val="single" w:sz="4" w:space="0" w:color="auto"/>
          </w:tcBorders>
          <w:vAlign w:val="center"/>
        </w:tcPr>
        <w:p w14:paraId="5711D290" w14:textId="77777777" w:rsidR="00846F14" w:rsidRPr="008F72FF" w:rsidRDefault="00846F14" w:rsidP="00441033">
          <w:pPr>
            <w:pStyle w:val="Header"/>
            <w:jc w:val="center"/>
            <w:rPr>
              <w:rFonts w:ascii="Times New Roman" w:hAnsi="Times New Roman" w:cs="Times New Roman"/>
              <w:sz w:val="20"/>
              <w:szCs w:val="20"/>
            </w:rPr>
          </w:pPr>
          <w:r w:rsidRPr="008F72FF">
            <w:rPr>
              <w:rFonts w:ascii="Times New Roman" w:hAnsi="Times New Roman" w:cs="Times New Roman"/>
              <w:sz w:val="20"/>
              <w:szCs w:val="20"/>
            </w:rPr>
            <w:fldChar w:fldCharType="begin"/>
          </w:r>
          <w:r w:rsidRPr="008F72FF">
            <w:rPr>
              <w:rFonts w:ascii="Times New Roman" w:hAnsi="Times New Roman" w:cs="Times New Roman"/>
              <w:sz w:val="20"/>
              <w:szCs w:val="20"/>
            </w:rPr>
            <w:instrText xml:space="preserve"> PAGE   \* MERGEFORMAT </w:instrText>
          </w:r>
          <w:r w:rsidRPr="008F72FF">
            <w:rPr>
              <w:rFonts w:ascii="Times New Roman" w:hAnsi="Times New Roman" w:cs="Times New Roman"/>
              <w:sz w:val="20"/>
              <w:szCs w:val="20"/>
            </w:rPr>
            <w:fldChar w:fldCharType="separate"/>
          </w:r>
          <w:r w:rsidR="000A5510">
            <w:rPr>
              <w:rFonts w:ascii="Times New Roman" w:hAnsi="Times New Roman" w:cs="Times New Roman"/>
              <w:sz w:val="20"/>
              <w:szCs w:val="20"/>
            </w:rPr>
            <w:t>18</w:t>
          </w:r>
          <w:r w:rsidRPr="008F72FF">
            <w:rPr>
              <w:rFonts w:ascii="Times New Roman" w:hAnsi="Times New Roman" w:cs="Times New Roman"/>
              <w:sz w:val="20"/>
              <w:szCs w:val="20"/>
            </w:rPr>
            <w:fldChar w:fldCharType="end"/>
          </w:r>
        </w:p>
      </w:tc>
    </w:tr>
  </w:tbl>
  <w:p w14:paraId="459765D9" w14:textId="77777777" w:rsidR="00846F14" w:rsidRPr="00CE1F63" w:rsidRDefault="00846F14" w:rsidP="00232499">
    <w:pPr>
      <w:spacing w:after="0"/>
      <w:rPr>
        <w:rFonts w:ascii="Times New Roman" w:eastAsia="Times New Roman" w:hAnsi="Times New Roman" w:cs="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hybridMultilevel"/>
    <w:tmpl w:val="1A27709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A"/>
    <w:multiLevelType w:val="hybridMultilevel"/>
    <w:tmpl w:val="DD08F89A"/>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D"/>
    <w:multiLevelType w:val="hybridMultilevel"/>
    <w:tmpl w:val="06EB5BD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E"/>
    <w:multiLevelType w:val="hybridMultilevel"/>
    <w:tmpl w:val="6F6DD9A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F"/>
    <w:multiLevelType w:val="hybridMultilevel"/>
    <w:tmpl w:val="094211F2"/>
    <w:lvl w:ilvl="0" w:tplc="FFFFFFFF">
      <w:start w:val="1"/>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0"/>
    <w:multiLevelType w:val="hybridMultilevel"/>
    <w:tmpl w:val="00885E1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1"/>
    <w:multiLevelType w:val="hybridMultilevel"/>
    <w:tmpl w:val="76272110"/>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3"/>
    <w:multiLevelType w:val="hybridMultilevel"/>
    <w:tmpl w:val="1D34DF1A"/>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4"/>
    <w:multiLevelType w:val="hybridMultilevel"/>
    <w:tmpl w:val="14E17E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5"/>
    <w:multiLevelType w:val="hybridMultilevel"/>
    <w:tmpl w:val="3222E7CC"/>
    <w:lvl w:ilvl="0" w:tplc="FFFFFFFF">
      <w:start w:val="1"/>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6"/>
    <w:multiLevelType w:val="hybridMultilevel"/>
    <w:tmpl w:val="74DE0EE2"/>
    <w:lvl w:ilvl="0" w:tplc="FFFFFFFF">
      <w:start w:val="3"/>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7"/>
    <w:multiLevelType w:val="hybridMultilevel"/>
    <w:tmpl w:val="68EBC550"/>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8"/>
    <w:multiLevelType w:val="hybridMultilevel"/>
    <w:tmpl w:val="2DF6D648"/>
    <w:lvl w:ilvl="0" w:tplc="FFFFFFFF">
      <w:start w:val="1"/>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9"/>
    <w:multiLevelType w:val="hybridMultilevel"/>
    <w:tmpl w:val="46B7D4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A"/>
    <w:multiLevelType w:val="hybridMultilevel"/>
    <w:tmpl w:val="4A2AC31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B"/>
    <w:multiLevelType w:val="hybridMultilevel"/>
    <w:tmpl w:val="39EE015C"/>
    <w:lvl w:ilvl="0" w:tplc="FFFFFFFF">
      <w:start w:val="1"/>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C"/>
    <w:multiLevelType w:val="hybridMultilevel"/>
    <w:tmpl w:val="57FC4FBA"/>
    <w:lvl w:ilvl="0" w:tplc="FFFFFFFF">
      <w:start w:val="1"/>
      <w:numFmt w:val="lowerLetter"/>
      <w:lvlText w:val="%1"/>
      <w:lvlJc w:val="left"/>
    </w:lvl>
    <w:lvl w:ilvl="1" w:tplc="FFFFFFFF">
      <w:start w:val="2"/>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D"/>
    <w:multiLevelType w:val="hybridMultilevel"/>
    <w:tmpl w:val="0CC1016E"/>
    <w:lvl w:ilvl="0" w:tplc="FFFFFFFF">
      <w:start w:val="3"/>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F"/>
    <w:multiLevelType w:val="hybridMultilevel"/>
    <w:tmpl w:val="60EF0118"/>
    <w:lvl w:ilvl="0" w:tplc="FFFFFFFF">
      <w:start w:val="7"/>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20"/>
    <w:multiLevelType w:val="hybridMultilevel"/>
    <w:tmpl w:val="26F324BA"/>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21"/>
    <w:multiLevelType w:val="hybridMultilevel"/>
    <w:tmpl w:val="7F01579A"/>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22"/>
    <w:multiLevelType w:val="hybridMultilevel"/>
    <w:tmpl w:val="49DA307C"/>
    <w:lvl w:ilvl="0" w:tplc="FFFFFFFF">
      <w:start w:val="8"/>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23"/>
    <w:multiLevelType w:val="hybridMultilevel"/>
    <w:tmpl w:val="7055A5F4"/>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24"/>
    <w:multiLevelType w:val="hybridMultilevel"/>
    <w:tmpl w:val="5FB8370A"/>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5"/>
    <w:multiLevelType w:val="hybridMultilevel"/>
    <w:tmpl w:val="50801EE0"/>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6"/>
    <w:multiLevelType w:val="hybridMultilevel"/>
    <w:tmpl w:val="0488AC1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7"/>
    <w:multiLevelType w:val="hybridMultilevel"/>
    <w:tmpl w:val="5FB8011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8"/>
    <w:multiLevelType w:val="hybridMultilevel"/>
    <w:tmpl w:val="6AA78F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A"/>
    <w:multiLevelType w:val="hybridMultilevel"/>
    <w:tmpl w:val="6FC75AF8"/>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B"/>
    <w:multiLevelType w:val="hybridMultilevel"/>
    <w:tmpl w:val="6A5F702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C"/>
    <w:multiLevelType w:val="hybridMultilevel"/>
    <w:tmpl w:val="7D5E18F8"/>
    <w:lvl w:ilvl="0" w:tplc="FFFFFFFF">
      <w:start w:val="4"/>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D"/>
    <w:multiLevelType w:val="hybridMultilevel"/>
    <w:tmpl w:val="5F3534A4"/>
    <w:lvl w:ilvl="0" w:tplc="FFFFFFFF">
      <w:start w:val="1"/>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F"/>
    <w:multiLevelType w:val="hybridMultilevel"/>
    <w:tmpl w:val="7DE67712"/>
    <w:lvl w:ilvl="0" w:tplc="FFFFFFFF">
      <w:start w:val="1"/>
      <w:numFmt w:val="lowerLetter"/>
      <w:lvlText w:val="%1"/>
      <w:lvlJc w:val="left"/>
    </w:lvl>
    <w:lvl w:ilvl="1" w:tplc="FFFFFFFF">
      <w:start w:val="4"/>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30"/>
    <w:multiLevelType w:val="hybridMultilevel"/>
    <w:tmpl w:val="555C55B4"/>
    <w:lvl w:ilvl="0" w:tplc="FFFFFFFF">
      <w:start w:val="3"/>
      <w:numFmt w:val="lowerLetter"/>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31"/>
    <w:multiLevelType w:val="hybridMultilevel"/>
    <w:tmpl w:val="3FA62ACA"/>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32"/>
    <w:multiLevelType w:val="hybridMultilevel"/>
    <w:tmpl w:val="14FCE74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34"/>
    <w:multiLevelType w:val="hybridMultilevel"/>
    <w:tmpl w:val="71C9129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35"/>
    <w:multiLevelType w:val="hybridMultilevel"/>
    <w:tmpl w:val="09DAF6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37"/>
    <w:multiLevelType w:val="hybridMultilevel"/>
    <w:tmpl w:val="1FBFE8E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38"/>
    <w:multiLevelType w:val="hybridMultilevel"/>
    <w:tmpl w:val="1E981590"/>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39"/>
    <w:multiLevelType w:val="hybridMultilevel"/>
    <w:tmpl w:val="1D545C4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A"/>
    <w:multiLevelType w:val="hybridMultilevel"/>
    <w:tmpl w:val="59ADEA3C"/>
    <w:lvl w:ilvl="0" w:tplc="FFFFFFFF">
      <w:start w:val="1"/>
      <w:numFmt w:val="lowerLetter"/>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B"/>
    <w:multiLevelType w:val="hybridMultilevel"/>
    <w:tmpl w:val="288F1A34"/>
    <w:lvl w:ilvl="0" w:tplc="FFFFFFFF">
      <w:start w:val="1"/>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C"/>
    <w:multiLevelType w:val="hybridMultilevel"/>
    <w:tmpl w:val="2A155DBC"/>
    <w:lvl w:ilvl="0" w:tplc="FFFFFFFF">
      <w:start w:val="3"/>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D"/>
    <w:multiLevelType w:val="hybridMultilevel"/>
    <w:tmpl w:val="1D9F6E5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F"/>
    <w:multiLevelType w:val="hybridMultilevel"/>
    <w:tmpl w:val="5108827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40"/>
    <w:multiLevelType w:val="hybridMultilevel"/>
    <w:tmpl w:val="1CA0C5FA"/>
    <w:lvl w:ilvl="0" w:tplc="FFFFFFFF">
      <w:start w:val="1"/>
      <w:numFmt w:val="lowerLetter"/>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42"/>
    <w:multiLevelType w:val="hybridMultilevel"/>
    <w:tmpl w:val="415E286C"/>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43"/>
    <w:multiLevelType w:val="hybridMultilevel"/>
    <w:tmpl w:val="8196B95E"/>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44"/>
    <w:multiLevelType w:val="hybridMultilevel"/>
    <w:tmpl w:val="420AC810"/>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45"/>
    <w:multiLevelType w:val="hybridMultilevel"/>
    <w:tmpl w:val="45E6D486"/>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47"/>
    <w:multiLevelType w:val="hybridMultilevel"/>
    <w:tmpl w:val="0E7FFA2A"/>
    <w:lvl w:ilvl="0" w:tplc="FFFFFFFF">
      <w:start w:val="6"/>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48"/>
    <w:multiLevelType w:val="hybridMultilevel"/>
    <w:tmpl w:val="3C5991AA"/>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49"/>
    <w:multiLevelType w:val="hybridMultilevel"/>
    <w:tmpl w:val="15F4A35A"/>
    <w:lvl w:ilvl="0" w:tplc="FFFFFFFF">
      <w:start w:val="1"/>
      <w:numFmt w:val="lowerLetter"/>
      <w:lvlText w:val="(%1)"/>
      <w:lvlJc w:val="left"/>
    </w:lvl>
    <w:lvl w:ilvl="1" w:tplc="4E1E6442">
      <w:start w:val="1"/>
      <w:numFmt w:val="bullet"/>
      <w:lvlText w:val="-"/>
      <w:lvlJc w:val="left"/>
      <w:pPr>
        <w:ind w:left="360" w:hanging="360"/>
      </w:pPr>
      <w:rPr>
        <w:rFonts w:ascii="Calibri" w:eastAsia="Calibri" w:hAnsi="Calibri" w:cs="Calibri"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4A"/>
    <w:multiLevelType w:val="hybridMultilevel"/>
    <w:tmpl w:val="78DF6A54"/>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4B"/>
    <w:multiLevelType w:val="hybridMultilevel"/>
    <w:tmpl w:val="39B7AAA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4C"/>
    <w:multiLevelType w:val="hybridMultilevel"/>
    <w:tmpl w:val="2B0D8DB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D"/>
    <w:multiLevelType w:val="hybridMultilevel"/>
    <w:tmpl w:val="6C80EC70"/>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E"/>
    <w:multiLevelType w:val="hybridMultilevel"/>
    <w:tmpl w:val="379E21B4"/>
    <w:lvl w:ilvl="0" w:tplc="FFFFFFFF">
      <w:start w:val="1"/>
      <w:numFmt w:val="lowerLetter"/>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F"/>
    <w:multiLevelType w:val="hybridMultilevel"/>
    <w:tmpl w:val="0069E372"/>
    <w:lvl w:ilvl="0" w:tplc="FFFFFFFF">
      <w:start w:val="3"/>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54"/>
    <w:multiLevelType w:val="hybridMultilevel"/>
    <w:tmpl w:val="5675FF3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56"/>
    <w:multiLevelType w:val="hybridMultilevel"/>
    <w:tmpl w:val="729C5194"/>
    <w:lvl w:ilvl="0" w:tplc="FFFFFFFF">
      <w:start w:val="1"/>
      <w:numFmt w:val="lowerLetter"/>
      <w:lvlText w:val="(%1)"/>
      <w:lvlJc w:val="left"/>
    </w:lvl>
    <w:lvl w:ilvl="1" w:tplc="4E1E6442">
      <w:start w:val="1"/>
      <w:numFmt w:val="bullet"/>
      <w:lvlText w:val="-"/>
      <w:lvlJc w:val="left"/>
      <w:pPr>
        <w:ind w:left="360" w:hanging="360"/>
      </w:pPr>
      <w:rPr>
        <w:rFonts w:ascii="Calibri" w:eastAsia="Calibri" w:hAnsi="Calibri" w:cs="Calibri"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57"/>
    <w:multiLevelType w:val="hybridMultilevel"/>
    <w:tmpl w:val="639CC654"/>
    <w:lvl w:ilvl="0" w:tplc="FFFFFFFF">
      <w:start w:val="5"/>
      <w:numFmt w:val="lowerLetter"/>
      <w:lvlText w:val="(%1)"/>
      <w:lvlJc w:val="left"/>
    </w:lvl>
    <w:lvl w:ilvl="1" w:tplc="4E1E6442">
      <w:start w:val="1"/>
      <w:numFmt w:val="bullet"/>
      <w:lvlText w:val="-"/>
      <w:lvlJc w:val="left"/>
      <w:pPr>
        <w:ind w:left="360" w:hanging="360"/>
      </w:pPr>
      <w:rPr>
        <w:rFonts w:ascii="Calibri" w:eastAsia="Calibri" w:hAnsi="Calibri" w:cs="Calibri"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58"/>
    <w:multiLevelType w:val="hybridMultilevel"/>
    <w:tmpl w:val="86E8ECA2"/>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5B"/>
    <w:multiLevelType w:val="hybridMultilevel"/>
    <w:tmpl w:val="6E82D6B4"/>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5C"/>
    <w:multiLevelType w:val="hybridMultilevel"/>
    <w:tmpl w:val="34FD6B4E"/>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5D"/>
    <w:multiLevelType w:val="hybridMultilevel"/>
    <w:tmpl w:val="E2462104"/>
    <w:lvl w:ilvl="0" w:tplc="FFFFFFFF">
      <w:start w:val="1"/>
      <w:numFmt w:val="lowerLetter"/>
      <w:lvlText w:val="(%1)"/>
      <w:lvlJc w:val="left"/>
    </w:lvl>
    <w:lvl w:ilvl="1" w:tplc="4E1E6442">
      <w:start w:val="1"/>
      <w:numFmt w:val="bullet"/>
      <w:lvlText w:val="-"/>
      <w:lvlJc w:val="left"/>
      <w:pPr>
        <w:ind w:left="360" w:hanging="360"/>
      </w:pPr>
      <w:rPr>
        <w:rFonts w:ascii="Calibri" w:eastAsia="Calibri" w:hAnsi="Calibri" w:cs="Calibri"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5E"/>
    <w:multiLevelType w:val="hybridMultilevel"/>
    <w:tmpl w:val="56438D14"/>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5F"/>
    <w:multiLevelType w:val="hybridMultilevel"/>
    <w:tmpl w:val="67907C4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60"/>
    <w:multiLevelType w:val="hybridMultilevel"/>
    <w:tmpl w:val="E5823C66"/>
    <w:lvl w:ilvl="0" w:tplc="FFFFFFFF">
      <w:start w:val="2"/>
      <w:numFmt w:val="lowerLetter"/>
      <w:lvlText w:val="(%1)"/>
      <w:lvlJc w:val="left"/>
    </w:lvl>
    <w:lvl w:ilvl="1" w:tplc="4E1E6442">
      <w:start w:val="1"/>
      <w:numFmt w:val="bullet"/>
      <w:lvlText w:val="-"/>
      <w:lvlJc w:val="left"/>
      <w:pPr>
        <w:ind w:left="360" w:hanging="360"/>
      </w:pPr>
      <w:rPr>
        <w:rFonts w:ascii="Calibri" w:eastAsia="Calibri" w:hAnsi="Calibri" w:cs="Calibri"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67"/>
    <w:multiLevelType w:val="hybridMultilevel"/>
    <w:tmpl w:val="19E21BB2"/>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69"/>
    <w:multiLevelType w:val="hybridMultilevel"/>
    <w:tmpl w:val="57A61A28"/>
    <w:lvl w:ilvl="0" w:tplc="FFFFFFFF">
      <w:start w:val="2"/>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6A"/>
    <w:multiLevelType w:val="hybridMultilevel"/>
    <w:tmpl w:val="5399C654"/>
    <w:lvl w:ilvl="0" w:tplc="FFFFFFFF">
      <w:start w:val="1"/>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6C"/>
    <w:multiLevelType w:val="hybridMultilevel"/>
    <w:tmpl w:val="4427069A"/>
    <w:lvl w:ilvl="0" w:tplc="FFFFFFFF">
      <w:start w:val="1"/>
      <w:numFmt w:val="lowerLetter"/>
      <w:lvlText w:val="%1"/>
      <w:lvlJc w:val="left"/>
    </w:lvl>
    <w:lvl w:ilvl="1" w:tplc="FFFFFFFF">
      <w:start w:val="1"/>
      <w:numFmt w:val="decimal"/>
      <w:lvlText w:val="%2"/>
      <w:lvlJc w:val="left"/>
    </w:lvl>
    <w:lvl w:ilvl="2" w:tplc="FFFFFFFF">
      <w:start w:val="2"/>
      <w:numFmt w:val="lowerRoman"/>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70"/>
    <w:multiLevelType w:val="hybridMultilevel"/>
    <w:tmpl w:val="57D2F10E"/>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71"/>
    <w:multiLevelType w:val="hybridMultilevel"/>
    <w:tmpl w:val="0BFFAE18"/>
    <w:lvl w:ilvl="0" w:tplc="FFFFFFFF">
      <w:start w:val="1"/>
      <w:numFmt w:val="lowerLetter"/>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72"/>
    <w:multiLevelType w:val="hybridMultilevel"/>
    <w:tmpl w:val="0E3E47A8"/>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73"/>
    <w:multiLevelType w:val="hybridMultilevel"/>
    <w:tmpl w:val="2E48F044"/>
    <w:lvl w:ilvl="0" w:tplc="FFFFFFFF">
      <w:start w:val="2"/>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74"/>
    <w:multiLevelType w:val="hybridMultilevel"/>
    <w:tmpl w:val="49D0FEAC"/>
    <w:lvl w:ilvl="0" w:tplc="FFFFFFFF">
      <w:start w:val="1"/>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77"/>
    <w:multiLevelType w:val="hybridMultilevel"/>
    <w:tmpl w:val="24F6AB8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78"/>
    <w:multiLevelType w:val="hybridMultilevel"/>
    <w:tmpl w:val="634C574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7B"/>
    <w:multiLevelType w:val="hybridMultilevel"/>
    <w:tmpl w:val="1849C29A"/>
    <w:lvl w:ilvl="0" w:tplc="FFFFFFFF">
      <w:start w:val="1"/>
      <w:numFmt w:val="lowerLetter"/>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7D"/>
    <w:multiLevelType w:val="hybridMultilevel"/>
    <w:tmpl w:val="0075434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7E"/>
    <w:multiLevelType w:val="hybridMultilevel"/>
    <w:tmpl w:val="69E7F3E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7F"/>
    <w:multiLevelType w:val="hybridMultilevel"/>
    <w:tmpl w:val="2E5000A2"/>
    <w:lvl w:ilvl="0" w:tplc="80DCE852">
      <w:start w:val="1"/>
      <w:numFmt w:val="lowerLetter"/>
      <w:lvlText w:val="(%1)"/>
      <w:lvlJc w:val="left"/>
      <w:rPr>
        <w:b w:val="0"/>
        <w:b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80"/>
    <w:multiLevelType w:val="hybridMultilevel"/>
    <w:tmpl w:val="1816F8C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81"/>
    <w:multiLevelType w:val="hybridMultilevel"/>
    <w:tmpl w:val="37DF22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82"/>
    <w:multiLevelType w:val="hybridMultilevel"/>
    <w:tmpl w:val="7AB49DAE"/>
    <w:lvl w:ilvl="0" w:tplc="FFFFFFFF">
      <w:start w:val="3"/>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83"/>
    <w:multiLevelType w:val="hybridMultilevel"/>
    <w:tmpl w:val="759F82C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84"/>
    <w:multiLevelType w:val="hybridMultilevel"/>
    <w:tmpl w:val="61E74EA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85"/>
    <w:multiLevelType w:val="hybridMultilevel"/>
    <w:tmpl w:val="597B4D84"/>
    <w:lvl w:ilvl="0" w:tplc="FFFFFFFF">
      <w:start w:val="3"/>
      <w:numFmt w:val="lowerLetter"/>
      <w:lvlText w:val="(%1)"/>
      <w:lvlJc w:val="left"/>
    </w:lvl>
    <w:lvl w:ilvl="1" w:tplc="FFFFFFFF">
      <w:start w:val="1"/>
      <w:numFmt w:val="decimal"/>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86"/>
    <w:multiLevelType w:val="hybridMultilevel"/>
    <w:tmpl w:val="0F819E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87"/>
    <w:multiLevelType w:val="hybridMultilevel"/>
    <w:tmpl w:val="57C7D42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88"/>
    <w:multiLevelType w:val="hybridMultilevel"/>
    <w:tmpl w:val="312167A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8B"/>
    <w:multiLevelType w:val="hybridMultilevel"/>
    <w:tmpl w:val="322064D2"/>
    <w:lvl w:ilvl="0" w:tplc="4E1E6442">
      <w:start w:val="1"/>
      <w:numFmt w:val="bullet"/>
      <w:lvlText w:val="-"/>
      <w:lvlJc w:val="left"/>
      <w:rPr>
        <w:rFonts w:ascii="Calibri" w:eastAsia="Calibri" w:hAnsi="Calibri" w:cs="Calibri" w:hint="default"/>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8C"/>
    <w:multiLevelType w:val="hybridMultilevel"/>
    <w:tmpl w:val="6E534CD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8F"/>
    <w:multiLevelType w:val="hybridMultilevel"/>
    <w:tmpl w:val="46263D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90"/>
    <w:multiLevelType w:val="hybridMultilevel"/>
    <w:tmpl w:val="260D8C4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91"/>
    <w:multiLevelType w:val="hybridMultilevel"/>
    <w:tmpl w:val="73D4D3C4"/>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92"/>
    <w:multiLevelType w:val="hybridMultilevel"/>
    <w:tmpl w:val="1FF4560E"/>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93"/>
    <w:multiLevelType w:val="hybridMultilevel"/>
    <w:tmpl w:val="6FDE8A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94"/>
    <w:multiLevelType w:val="hybridMultilevel"/>
    <w:tmpl w:val="3FC32E2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95"/>
    <w:multiLevelType w:val="hybridMultilevel"/>
    <w:tmpl w:val="00EA9358"/>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96"/>
    <w:multiLevelType w:val="hybridMultilevel"/>
    <w:tmpl w:val="BBB45E82"/>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97"/>
    <w:multiLevelType w:val="hybridMultilevel"/>
    <w:tmpl w:val="010C94DA"/>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98"/>
    <w:multiLevelType w:val="hybridMultilevel"/>
    <w:tmpl w:val="6EAA85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99"/>
    <w:multiLevelType w:val="hybridMultilevel"/>
    <w:tmpl w:val="3F06ECB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9A"/>
    <w:multiLevelType w:val="hybridMultilevel"/>
    <w:tmpl w:val="1D76AADE"/>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9B"/>
    <w:multiLevelType w:val="hybridMultilevel"/>
    <w:tmpl w:val="9CE235DA"/>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9C"/>
    <w:multiLevelType w:val="hybridMultilevel"/>
    <w:tmpl w:val="B9880472"/>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9D"/>
    <w:multiLevelType w:val="hybridMultilevel"/>
    <w:tmpl w:val="9850A8E4"/>
    <w:lvl w:ilvl="0" w:tplc="4E1E6442">
      <w:start w:val="1"/>
      <w:numFmt w:val="bullet"/>
      <w:lvlText w:val="-"/>
      <w:lvlJc w:val="left"/>
      <w:rPr>
        <w:rFonts w:ascii="Calibri" w:eastAsia="Calibri" w:hAnsi="Calibri" w:cs="Calibri"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4514BBB"/>
    <w:multiLevelType w:val="hybridMultilevel"/>
    <w:tmpl w:val="1849C29A"/>
    <w:lvl w:ilvl="0" w:tplc="FFFFFFFF">
      <w:start w:val="1"/>
      <w:numFmt w:val="lowerLetter"/>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0B6B2BF7"/>
    <w:multiLevelType w:val="hybridMultilevel"/>
    <w:tmpl w:val="BB5EBE5E"/>
    <w:lvl w:ilvl="0" w:tplc="36D8803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0C6A602D"/>
    <w:multiLevelType w:val="hybridMultilevel"/>
    <w:tmpl w:val="D28E394E"/>
    <w:lvl w:ilvl="0" w:tplc="4E1E6442">
      <w:start w:val="1"/>
      <w:numFmt w:val="bullet"/>
      <w:lvlText w:val="-"/>
      <w:lvlJc w:val="left"/>
      <w:pPr>
        <w:ind w:left="1500" w:hanging="360"/>
      </w:pPr>
      <w:rPr>
        <w:rFonts w:ascii="Calibri" w:eastAsia="Calibri" w:hAnsi="Calibri" w:cs="Calibri"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4" w15:restartNumberingAfterBreak="0">
    <w:nsid w:val="106A68A9"/>
    <w:multiLevelType w:val="multilevel"/>
    <w:tmpl w:val="95E05A16"/>
    <w:lvl w:ilvl="0">
      <w:start w:val="1"/>
      <w:numFmt w:val="decimal"/>
      <w:lvlText w:val="%1."/>
      <w:lvlJc w:val="left"/>
      <w:pPr>
        <w:ind w:left="390" w:hanging="390"/>
      </w:pPr>
      <w:rPr>
        <w:rFonts w:hint="default"/>
        <w:sz w:val="24"/>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b w:val="0"/>
        <w:bCs/>
        <w:sz w:val="24"/>
      </w:rPr>
    </w:lvl>
    <w:lvl w:ilvl="3">
      <w:start w:val="1"/>
      <w:numFmt w:val="decimal"/>
      <w:lvlText w:val="%1.%2.%3.%4."/>
      <w:lvlJc w:val="left"/>
      <w:pPr>
        <w:ind w:left="1080" w:hanging="1080"/>
      </w:pPr>
      <w:rPr>
        <w:rFonts w:hint="default"/>
        <w:b w:val="0"/>
        <w:bCs/>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15" w15:restartNumberingAfterBreak="0">
    <w:nsid w:val="11801370"/>
    <w:multiLevelType w:val="hybridMultilevel"/>
    <w:tmpl w:val="1849C29A"/>
    <w:lvl w:ilvl="0" w:tplc="FFFFFFFF">
      <w:start w:val="1"/>
      <w:numFmt w:val="lowerLetter"/>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6" w15:restartNumberingAfterBreak="0">
    <w:nsid w:val="12CB2066"/>
    <w:multiLevelType w:val="hybridMultilevel"/>
    <w:tmpl w:val="B1F21EDE"/>
    <w:lvl w:ilvl="0" w:tplc="D0001F42">
      <w:start w:val="1"/>
      <w:numFmt w:val="decimal"/>
      <w:lvlText w:val="(%1)"/>
      <w:lvlJc w:val="left"/>
      <w:pPr>
        <w:ind w:left="914" w:hanging="63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7" w15:restartNumberingAfterBreak="0">
    <w:nsid w:val="17F94DE3"/>
    <w:multiLevelType w:val="hybridMultilevel"/>
    <w:tmpl w:val="CFCE9536"/>
    <w:lvl w:ilvl="0" w:tplc="0809000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18" w15:restartNumberingAfterBreak="0">
    <w:nsid w:val="1F0B1B8B"/>
    <w:multiLevelType w:val="hybridMultilevel"/>
    <w:tmpl w:val="1E82ABCC"/>
    <w:lvl w:ilvl="0" w:tplc="9EFA67B6">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2BB32EFC"/>
    <w:multiLevelType w:val="hybridMultilevel"/>
    <w:tmpl w:val="5EC6AFD4"/>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0" w15:restartNumberingAfterBreak="0">
    <w:nsid w:val="2E4308A9"/>
    <w:multiLevelType w:val="hybridMultilevel"/>
    <w:tmpl w:val="1402DDE6"/>
    <w:lvl w:ilvl="0" w:tplc="4B882A14">
      <w:start w:val="1"/>
      <w:numFmt w:val="lowerLett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2ED735D3"/>
    <w:multiLevelType w:val="hybridMultilevel"/>
    <w:tmpl w:val="A56C9A6C"/>
    <w:lvl w:ilvl="0" w:tplc="09DCB162">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36190BF7"/>
    <w:multiLevelType w:val="multilevel"/>
    <w:tmpl w:val="A14AFB0C"/>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2149" w:hanging="720"/>
      </w:pPr>
      <w:rPr>
        <w:rFonts w:ascii="Times New Roman" w:hAnsi="Times New Roman" w:cs="Times New Roman" w:hint="default"/>
        <w:sz w:val="24"/>
      </w:rPr>
    </w:lvl>
    <w:lvl w:ilvl="2">
      <w:start w:val="1"/>
      <w:numFmt w:val="decimal"/>
      <w:lvlText w:val="%1.%2.%3."/>
      <w:lvlJc w:val="left"/>
      <w:pPr>
        <w:ind w:left="3578" w:hanging="720"/>
      </w:pPr>
      <w:rPr>
        <w:rFonts w:ascii="Times New Roman" w:hAnsi="Times New Roman" w:cs="Times New Roman" w:hint="default"/>
        <w:sz w:val="24"/>
      </w:rPr>
    </w:lvl>
    <w:lvl w:ilvl="3">
      <w:start w:val="1"/>
      <w:numFmt w:val="decimal"/>
      <w:lvlText w:val="%1.%2.%3.%4."/>
      <w:lvlJc w:val="left"/>
      <w:pPr>
        <w:ind w:left="5367" w:hanging="1080"/>
      </w:pPr>
      <w:rPr>
        <w:rFonts w:ascii="Times New Roman" w:hAnsi="Times New Roman" w:cs="Times New Roman" w:hint="default"/>
        <w:sz w:val="24"/>
      </w:rPr>
    </w:lvl>
    <w:lvl w:ilvl="4">
      <w:start w:val="1"/>
      <w:numFmt w:val="decimal"/>
      <w:lvlText w:val="%1.%2.%3.%4.%5."/>
      <w:lvlJc w:val="left"/>
      <w:pPr>
        <w:ind w:left="6796" w:hanging="1080"/>
      </w:pPr>
      <w:rPr>
        <w:rFonts w:ascii="Times New Roman" w:hAnsi="Times New Roman" w:cs="Times New Roman" w:hint="default"/>
        <w:sz w:val="24"/>
      </w:rPr>
    </w:lvl>
    <w:lvl w:ilvl="5">
      <w:start w:val="1"/>
      <w:numFmt w:val="decimal"/>
      <w:lvlText w:val="%1.%2.%3.%4.%5.%6."/>
      <w:lvlJc w:val="left"/>
      <w:pPr>
        <w:ind w:left="8585" w:hanging="1440"/>
      </w:pPr>
      <w:rPr>
        <w:rFonts w:ascii="Times New Roman" w:hAnsi="Times New Roman" w:cs="Times New Roman" w:hint="default"/>
        <w:sz w:val="24"/>
      </w:rPr>
    </w:lvl>
    <w:lvl w:ilvl="6">
      <w:start w:val="1"/>
      <w:numFmt w:val="decimal"/>
      <w:lvlText w:val="%1.%2.%3.%4.%5.%6.%7."/>
      <w:lvlJc w:val="left"/>
      <w:pPr>
        <w:ind w:left="10014" w:hanging="1440"/>
      </w:pPr>
      <w:rPr>
        <w:rFonts w:ascii="Times New Roman" w:hAnsi="Times New Roman" w:cs="Times New Roman" w:hint="default"/>
        <w:sz w:val="24"/>
      </w:rPr>
    </w:lvl>
    <w:lvl w:ilvl="7">
      <w:start w:val="1"/>
      <w:numFmt w:val="decimal"/>
      <w:lvlText w:val="%1.%2.%3.%4.%5.%6.%7.%8."/>
      <w:lvlJc w:val="left"/>
      <w:pPr>
        <w:ind w:left="11803" w:hanging="1800"/>
      </w:pPr>
      <w:rPr>
        <w:rFonts w:ascii="Times New Roman" w:hAnsi="Times New Roman" w:cs="Times New Roman" w:hint="default"/>
        <w:sz w:val="24"/>
      </w:rPr>
    </w:lvl>
    <w:lvl w:ilvl="8">
      <w:start w:val="1"/>
      <w:numFmt w:val="decimal"/>
      <w:lvlText w:val="%1.%2.%3.%4.%5.%6.%7.%8.%9."/>
      <w:lvlJc w:val="left"/>
      <w:pPr>
        <w:ind w:left="13232" w:hanging="1800"/>
      </w:pPr>
      <w:rPr>
        <w:rFonts w:ascii="Times New Roman" w:hAnsi="Times New Roman" w:cs="Times New Roman" w:hint="default"/>
        <w:sz w:val="24"/>
      </w:rPr>
    </w:lvl>
  </w:abstractNum>
  <w:abstractNum w:abstractNumId="123" w15:restartNumberingAfterBreak="0">
    <w:nsid w:val="37382B8F"/>
    <w:multiLevelType w:val="multilevel"/>
    <w:tmpl w:val="BF8279E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3B753F69"/>
    <w:multiLevelType w:val="hybridMultilevel"/>
    <w:tmpl w:val="C7663AEA"/>
    <w:lvl w:ilvl="0" w:tplc="B4E094B4">
      <w:start w:val="1"/>
      <w:numFmt w:val="decimal"/>
      <w:lvlText w:val="(%1)"/>
      <w:lvlJc w:val="left"/>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8511AE8"/>
    <w:multiLevelType w:val="multilevel"/>
    <w:tmpl w:val="99B2E81E"/>
    <w:lvl w:ilvl="0">
      <w:start w:val="1"/>
      <w:numFmt w:val="decimal"/>
      <w:lvlText w:val="%1"/>
      <w:lvlJc w:val="left"/>
      <w:pPr>
        <w:ind w:left="570" w:hanging="570"/>
      </w:pPr>
      <w:rPr>
        <w:rFonts w:hint="default"/>
      </w:rPr>
    </w:lvl>
    <w:lvl w:ilvl="1">
      <w:start w:val="1"/>
      <w:numFmt w:val="decimal"/>
      <w:lvlText w:val="%1.%2"/>
      <w:lvlJc w:val="left"/>
      <w:pPr>
        <w:ind w:left="854" w:hanging="57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6" w15:restartNumberingAfterBreak="0">
    <w:nsid w:val="4BC45611"/>
    <w:multiLevelType w:val="hybridMultilevel"/>
    <w:tmpl w:val="45228388"/>
    <w:lvl w:ilvl="0" w:tplc="B4E094B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7" w15:restartNumberingAfterBreak="0">
    <w:nsid w:val="4E740069"/>
    <w:multiLevelType w:val="hybridMultilevel"/>
    <w:tmpl w:val="4696539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8" w15:restartNumberingAfterBreak="0">
    <w:nsid w:val="53AC4785"/>
    <w:multiLevelType w:val="multilevel"/>
    <w:tmpl w:val="8B7812BA"/>
    <w:lvl w:ilvl="0">
      <w:start w:val="1"/>
      <w:numFmt w:val="decimal"/>
      <w:lvlText w:val="%1."/>
      <w:lvlJc w:val="left"/>
      <w:pPr>
        <w:ind w:left="450" w:hanging="450"/>
      </w:pPr>
      <w:rPr>
        <w:rFonts w:hint="default"/>
        <w:sz w:val="24"/>
        <w:szCs w:val="24"/>
      </w:rPr>
    </w:lvl>
    <w:lvl w:ilvl="1">
      <w:start w:val="1"/>
      <w:numFmt w:val="decimal"/>
      <w:lvlText w:val="%1.%2."/>
      <w:lvlJc w:val="left"/>
      <w:pPr>
        <w:ind w:left="450" w:hanging="450"/>
      </w:pPr>
      <w:rPr>
        <w:rFonts w:ascii="Times New Roman" w:hAnsi="Times New Roman" w:cs="Times New Roman" w:hint="default"/>
        <w:b/>
        <w:bCs w:val="0"/>
      </w:rPr>
    </w:lvl>
    <w:lvl w:ilvl="2">
      <w:start w:val="1"/>
      <w:numFmt w:val="decimal"/>
      <w:lvlText w:val="%1.%2.%3."/>
      <w:lvlJc w:val="left"/>
      <w:pPr>
        <w:ind w:left="720" w:hanging="720"/>
      </w:pPr>
      <w:rPr>
        <w:rFonts w:ascii="Times New Roman" w:hAnsi="Times New Roman" w:cs="Times New Roman" w:hint="default"/>
        <w:b w:val="0"/>
        <w:bCs w:val="0"/>
        <w:color w:val="auto"/>
        <w:lang w:val="ro-RO"/>
      </w:rPr>
    </w:lvl>
    <w:lvl w:ilvl="3">
      <w:start w:val="1"/>
      <w:numFmt w:val="decimal"/>
      <w:lvlText w:val="%1.%2.%3.%4."/>
      <w:lvlJc w:val="left"/>
      <w:pPr>
        <w:ind w:left="720" w:hanging="720"/>
      </w:pPr>
      <w:rPr>
        <w:rFonts w:hint="default"/>
        <w:i w:val="0"/>
        <w:i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56B65E7A"/>
    <w:multiLevelType w:val="hybridMultilevel"/>
    <w:tmpl w:val="383CDA0E"/>
    <w:lvl w:ilvl="0" w:tplc="33F48D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0" w15:restartNumberingAfterBreak="0">
    <w:nsid w:val="59097528"/>
    <w:multiLevelType w:val="hybridMultilevel"/>
    <w:tmpl w:val="A3BE633C"/>
    <w:lvl w:ilvl="0" w:tplc="A8961B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5F3E1F44"/>
    <w:multiLevelType w:val="hybridMultilevel"/>
    <w:tmpl w:val="2EB40632"/>
    <w:lvl w:ilvl="0" w:tplc="FFFFFFFF">
      <w:start w:val="1"/>
      <w:numFmt w:val="lowerLetter"/>
      <w:lvlText w:val="(%1)"/>
      <w:lvlJc w:val="left"/>
    </w:lvl>
    <w:lvl w:ilvl="1" w:tplc="B4E094B4">
      <w:start w:val="1"/>
      <w:numFmt w:val="decimal"/>
      <w:lvlText w:val="(%2)"/>
      <w:lvlJc w:val="left"/>
      <w:pPr>
        <w:ind w:left="1080" w:hanging="360"/>
      </w:pPr>
      <w:rPr>
        <w:rFonts w:hint="default"/>
      </w:rPr>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2" w15:restartNumberingAfterBreak="0">
    <w:nsid w:val="64F55FF3"/>
    <w:multiLevelType w:val="hybridMultilevel"/>
    <w:tmpl w:val="F53ED7DA"/>
    <w:lvl w:ilvl="0" w:tplc="A8961BC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33" w15:restartNumberingAfterBreak="0">
    <w:nsid w:val="6F265ED4"/>
    <w:multiLevelType w:val="hybridMultilevel"/>
    <w:tmpl w:val="8E7E1034"/>
    <w:lvl w:ilvl="0" w:tplc="F3B868CA">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FCF1BA9"/>
    <w:multiLevelType w:val="hybridMultilevel"/>
    <w:tmpl w:val="6A5F702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5" w15:restartNumberingAfterBreak="0">
    <w:nsid w:val="76225488"/>
    <w:multiLevelType w:val="hybridMultilevel"/>
    <w:tmpl w:val="4696539A"/>
    <w:lvl w:ilvl="0" w:tplc="B4E09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765B498A"/>
    <w:multiLevelType w:val="hybridMultilevel"/>
    <w:tmpl w:val="CA90A8EC"/>
    <w:lvl w:ilvl="0" w:tplc="A8961BC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76F0294B"/>
    <w:multiLevelType w:val="hybridMultilevel"/>
    <w:tmpl w:val="CFEABC90"/>
    <w:lvl w:ilvl="0" w:tplc="BE26364E">
      <w:start w:val="1"/>
      <w:numFmt w:val="lowerLetter"/>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38" w15:restartNumberingAfterBreak="0">
    <w:nsid w:val="7AD926E9"/>
    <w:multiLevelType w:val="hybridMultilevel"/>
    <w:tmpl w:val="E20C9AB8"/>
    <w:lvl w:ilvl="0" w:tplc="E1B448DE">
      <w:start w:val="1"/>
      <w:numFmt w:val="lowerLetter"/>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306739566">
    <w:abstractNumId w:val="117"/>
  </w:num>
  <w:num w:numId="2" w16cid:durableId="1931962293">
    <w:abstractNumId w:val="114"/>
  </w:num>
  <w:num w:numId="3" w16cid:durableId="1158153700">
    <w:abstractNumId w:val="123"/>
  </w:num>
  <w:num w:numId="4" w16cid:durableId="357201508">
    <w:abstractNumId w:val="121"/>
  </w:num>
  <w:num w:numId="5" w16cid:durableId="2019960169">
    <w:abstractNumId w:val="133"/>
  </w:num>
  <w:num w:numId="6" w16cid:durableId="1977099436">
    <w:abstractNumId w:val="113"/>
  </w:num>
  <w:num w:numId="7" w16cid:durableId="659309272">
    <w:abstractNumId w:val="118"/>
  </w:num>
  <w:num w:numId="8" w16cid:durableId="670258426">
    <w:abstractNumId w:val="126"/>
  </w:num>
  <w:num w:numId="9" w16cid:durableId="2121876991">
    <w:abstractNumId w:val="129"/>
  </w:num>
  <w:num w:numId="10" w16cid:durableId="310257690">
    <w:abstractNumId w:val="137"/>
  </w:num>
  <w:num w:numId="11" w16cid:durableId="1671324805">
    <w:abstractNumId w:val="0"/>
  </w:num>
  <w:num w:numId="12" w16cid:durableId="1730029010">
    <w:abstractNumId w:val="1"/>
  </w:num>
  <w:num w:numId="13" w16cid:durableId="1779446453">
    <w:abstractNumId w:val="138"/>
  </w:num>
  <w:num w:numId="14" w16cid:durableId="502015215">
    <w:abstractNumId w:val="2"/>
  </w:num>
  <w:num w:numId="15" w16cid:durableId="1092974068">
    <w:abstractNumId w:val="3"/>
  </w:num>
  <w:num w:numId="16" w16cid:durableId="1368292479">
    <w:abstractNumId w:val="4"/>
  </w:num>
  <w:num w:numId="17" w16cid:durableId="20791622">
    <w:abstractNumId w:val="5"/>
  </w:num>
  <w:num w:numId="18" w16cid:durableId="483395858">
    <w:abstractNumId w:val="6"/>
  </w:num>
  <w:num w:numId="19" w16cid:durableId="1883901519">
    <w:abstractNumId w:val="7"/>
  </w:num>
  <w:num w:numId="20" w16cid:durableId="143548880">
    <w:abstractNumId w:val="8"/>
  </w:num>
  <w:num w:numId="21" w16cid:durableId="461920871">
    <w:abstractNumId w:val="9"/>
  </w:num>
  <w:num w:numId="22" w16cid:durableId="2041469392">
    <w:abstractNumId w:val="10"/>
  </w:num>
  <w:num w:numId="23" w16cid:durableId="814109217">
    <w:abstractNumId w:val="11"/>
  </w:num>
  <w:num w:numId="24" w16cid:durableId="1382174157">
    <w:abstractNumId w:val="12"/>
  </w:num>
  <w:num w:numId="25" w16cid:durableId="1474909860">
    <w:abstractNumId w:val="13"/>
  </w:num>
  <w:num w:numId="26" w16cid:durableId="689255736">
    <w:abstractNumId w:val="14"/>
  </w:num>
  <w:num w:numId="27" w16cid:durableId="1269200323">
    <w:abstractNumId w:val="15"/>
  </w:num>
  <w:num w:numId="28" w16cid:durableId="1423526854">
    <w:abstractNumId w:val="16"/>
  </w:num>
  <w:num w:numId="29" w16cid:durableId="705132155">
    <w:abstractNumId w:val="17"/>
  </w:num>
  <w:num w:numId="30" w16cid:durableId="1818569601">
    <w:abstractNumId w:val="18"/>
  </w:num>
  <w:num w:numId="31" w16cid:durableId="1165702242">
    <w:abstractNumId w:val="19"/>
  </w:num>
  <w:num w:numId="32" w16cid:durableId="349373680">
    <w:abstractNumId w:val="20"/>
  </w:num>
  <w:num w:numId="33" w16cid:durableId="362361801">
    <w:abstractNumId w:val="21"/>
  </w:num>
  <w:num w:numId="34" w16cid:durableId="1914461939">
    <w:abstractNumId w:val="22"/>
  </w:num>
  <w:num w:numId="35" w16cid:durableId="252905523">
    <w:abstractNumId w:val="23"/>
  </w:num>
  <w:num w:numId="36" w16cid:durableId="1069301767">
    <w:abstractNumId w:val="24"/>
  </w:num>
  <w:num w:numId="37" w16cid:durableId="1298604782">
    <w:abstractNumId w:val="25"/>
  </w:num>
  <w:num w:numId="38" w16cid:durableId="1526821090">
    <w:abstractNumId w:val="26"/>
  </w:num>
  <w:num w:numId="39" w16cid:durableId="453914961">
    <w:abstractNumId w:val="27"/>
  </w:num>
  <w:num w:numId="40" w16cid:durableId="1537356367">
    <w:abstractNumId w:val="28"/>
  </w:num>
  <w:num w:numId="41" w16cid:durableId="2032802161">
    <w:abstractNumId w:val="29"/>
  </w:num>
  <w:num w:numId="42" w16cid:durableId="1489907002">
    <w:abstractNumId w:val="30"/>
  </w:num>
  <w:num w:numId="43" w16cid:durableId="298846862">
    <w:abstractNumId w:val="31"/>
  </w:num>
  <w:num w:numId="44" w16cid:durableId="232853764">
    <w:abstractNumId w:val="32"/>
  </w:num>
  <w:num w:numId="45" w16cid:durableId="840047140">
    <w:abstractNumId w:val="33"/>
  </w:num>
  <w:num w:numId="46" w16cid:durableId="1383559329">
    <w:abstractNumId w:val="34"/>
  </w:num>
  <w:num w:numId="47" w16cid:durableId="1729571996">
    <w:abstractNumId w:val="35"/>
  </w:num>
  <w:num w:numId="48" w16cid:durableId="270208974">
    <w:abstractNumId w:val="36"/>
  </w:num>
  <w:num w:numId="49" w16cid:durableId="366681747">
    <w:abstractNumId w:val="37"/>
  </w:num>
  <w:num w:numId="50" w16cid:durableId="1436632410">
    <w:abstractNumId w:val="38"/>
  </w:num>
  <w:num w:numId="51" w16cid:durableId="1353072244">
    <w:abstractNumId w:val="39"/>
  </w:num>
  <w:num w:numId="52" w16cid:durableId="1882862575">
    <w:abstractNumId w:val="40"/>
  </w:num>
  <w:num w:numId="53" w16cid:durableId="1016080744">
    <w:abstractNumId w:val="41"/>
  </w:num>
  <w:num w:numId="54" w16cid:durableId="275186451">
    <w:abstractNumId w:val="42"/>
  </w:num>
  <w:num w:numId="55" w16cid:durableId="2111660179">
    <w:abstractNumId w:val="43"/>
  </w:num>
  <w:num w:numId="56" w16cid:durableId="1527673521">
    <w:abstractNumId w:val="44"/>
  </w:num>
  <w:num w:numId="57" w16cid:durableId="527724216">
    <w:abstractNumId w:val="45"/>
  </w:num>
  <w:num w:numId="58" w16cid:durableId="2101826474">
    <w:abstractNumId w:val="46"/>
  </w:num>
  <w:num w:numId="59" w16cid:durableId="296226179">
    <w:abstractNumId w:val="47"/>
  </w:num>
  <w:num w:numId="60" w16cid:durableId="556014702">
    <w:abstractNumId w:val="48"/>
  </w:num>
  <w:num w:numId="61" w16cid:durableId="291786273">
    <w:abstractNumId w:val="49"/>
  </w:num>
  <w:num w:numId="62" w16cid:durableId="1979912661">
    <w:abstractNumId w:val="50"/>
  </w:num>
  <w:num w:numId="63" w16cid:durableId="276177497">
    <w:abstractNumId w:val="51"/>
  </w:num>
  <w:num w:numId="64" w16cid:durableId="1193345618">
    <w:abstractNumId w:val="52"/>
  </w:num>
  <w:num w:numId="65" w16cid:durableId="1026246885">
    <w:abstractNumId w:val="53"/>
  </w:num>
  <w:num w:numId="66" w16cid:durableId="395279390">
    <w:abstractNumId w:val="54"/>
  </w:num>
  <w:num w:numId="67" w16cid:durableId="1596010262">
    <w:abstractNumId w:val="55"/>
  </w:num>
  <w:num w:numId="68" w16cid:durableId="1751805600">
    <w:abstractNumId w:val="56"/>
  </w:num>
  <w:num w:numId="69" w16cid:durableId="821384914">
    <w:abstractNumId w:val="57"/>
  </w:num>
  <w:num w:numId="70" w16cid:durableId="677075743">
    <w:abstractNumId w:val="58"/>
  </w:num>
  <w:num w:numId="71" w16cid:durableId="1152720480">
    <w:abstractNumId w:val="59"/>
  </w:num>
  <w:num w:numId="72" w16cid:durableId="2121489611">
    <w:abstractNumId w:val="60"/>
  </w:num>
  <w:num w:numId="73" w16cid:durableId="168714244">
    <w:abstractNumId w:val="61"/>
  </w:num>
  <w:num w:numId="74" w16cid:durableId="548149461">
    <w:abstractNumId w:val="62"/>
  </w:num>
  <w:num w:numId="75" w16cid:durableId="427196206">
    <w:abstractNumId w:val="63"/>
  </w:num>
  <w:num w:numId="76" w16cid:durableId="614093207">
    <w:abstractNumId w:val="64"/>
  </w:num>
  <w:num w:numId="77" w16cid:durableId="982389778">
    <w:abstractNumId w:val="65"/>
  </w:num>
  <w:num w:numId="78" w16cid:durableId="68384787">
    <w:abstractNumId w:val="66"/>
  </w:num>
  <w:num w:numId="79" w16cid:durableId="527252981">
    <w:abstractNumId w:val="67"/>
  </w:num>
  <w:num w:numId="80" w16cid:durableId="734741114">
    <w:abstractNumId w:val="68"/>
  </w:num>
  <w:num w:numId="81" w16cid:durableId="430392919">
    <w:abstractNumId w:val="69"/>
  </w:num>
  <w:num w:numId="82" w16cid:durableId="876820202">
    <w:abstractNumId w:val="70"/>
  </w:num>
  <w:num w:numId="83" w16cid:durableId="704912138">
    <w:abstractNumId w:val="71"/>
  </w:num>
  <w:num w:numId="84" w16cid:durableId="145166051">
    <w:abstractNumId w:val="72"/>
  </w:num>
  <w:num w:numId="85" w16cid:durableId="1941717808">
    <w:abstractNumId w:val="73"/>
  </w:num>
  <w:num w:numId="86" w16cid:durableId="107431604">
    <w:abstractNumId w:val="74"/>
  </w:num>
  <w:num w:numId="87" w16cid:durableId="872615279">
    <w:abstractNumId w:val="75"/>
  </w:num>
  <w:num w:numId="88" w16cid:durableId="1719238169">
    <w:abstractNumId w:val="76"/>
  </w:num>
  <w:num w:numId="89" w16cid:durableId="1140264262">
    <w:abstractNumId w:val="77"/>
  </w:num>
  <w:num w:numId="90" w16cid:durableId="2114353511">
    <w:abstractNumId w:val="78"/>
  </w:num>
  <w:num w:numId="91" w16cid:durableId="705450301">
    <w:abstractNumId w:val="79"/>
  </w:num>
  <w:num w:numId="92" w16cid:durableId="42869637">
    <w:abstractNumId w:val="80"/>
  </w:num>
  <w:num w:numId="93" w16cid:durableId="104272003">
    <w:abstractNumId w:val="81"/>
  </w:num>
  <w:num w:numId="94" w16cid:durableId="1821968299">
    <w:abstractNumId w:val="82"/>
  </w:num>
  <w:num w:numId="95" w16cid:durableId="712269362">
    <w:abstractNumId w:val="83"/>
  </w:num>
  <w:num w:numId="96" w16cid:durableId="1415083816">
    <w:abstractNumId w:val="84"/>
  </w:num>
  <w:num w:numId="97" w16cid:durableId="1541092321">
    <w:abstractNumId w:val="85"/>
  </w:num>
  <w:num w:numId="98" w16cid:durableId="149057000">
    <w:abstractNumId w:val="86"/>
  </w:num>
  <w:num w:numId="99" w16cid:durableId="129907640">
    <w:abstractNumId w:val="87"/>
  </w:num>
  <w:num w:numId="100" w16cid:durableId="1555387745">
    <w:abstractNumId w:val="88"/>
  </w:num>
  <w:num w:numId="101" w16cid:durableId="555821353">
    <w:abstractNumId w:val="89"/>
  </w:num>
  <w:num w:numId="102" w16cid:durableId="1390416656">
    <w:abstractNumId w:val="90"/>
  </w:num>
  <w:num w:numId="103" w16cid:durableId="2094693042">
    <w:abstractNumId w:val="91"/>
  </w:num>
  <w:num w:numId="104" w16cid:durableId="42141762">
    <w:abstractNumId w:val="92"/>
  </w:num>
  <w:num w:numId="105" w16cid:durableId="749035386">
    <w:abstractNumId w:val="93"/>
  </w:num>
  <w:num w:numId="106" w16cid:durableId="644941569">
    <w:abstractNumId w:val="94"/>
  </w:num>
  <w:num w:numId="107" w16cid:durableId="1638220631">
    <w:abstractNumId w:val="95"/>
  </w:num>
  <w:num w:numId="108" w16cid:durableId="647779997">
    <w:abstractNumId w:val="96"/>
  </w:num>
  <w:num w:numId="109" w16cid:durableId="1107383752">
    <w:abstractNumId w:val="97"/>
  </w:num>
  <w:num w:numId="110" w16cid:durableId="715741262">
    <w:abstractNumId w:val="98"/>
  </w:num>
  <w:num w:numId="111" w16cid:durableId="1251499307">
    <w:abstractNumId w:val="99"/>
  </w:num>
  <w:num w:numId="112" w16cid:durableId="1629892367">
    <w:abstractNumId w:val="100"/>
  </w:num>
  <w:num w:numId="113" w16cid:durableId="1333602203">
    <w:abstractNumId w:val="101"/>
  </w:num>
  <w:num w:numId="114" w16cid:durableId="1478373610">
    <w:abstractNumId w:val="102"/>
  </w:num>
  <w:num w:numId="115" w16cid:durableId="1521502725">
    <w:abstractNumId w:val="103"/>
  </w:num>
  <w:num w:numId="116" w16cid:durableId="1467233148">
    <w:abstractNumId w:val="104"/>
  </w:num>
  <w:num w:numId="117" w16cid:durableId="302973729">
    <w:abstractNumId w:val="105"/>
  </w:num>
  <w:num w:numId="118" w16cid:durableId="440344477">
    <w:abstractNumId w:val="106"/>
  </w:num>
  <w:num w:numId="119" w16cid:durableId="550652920">
    <w:abstractNumId w:val="107"/>
  </w:num>
  <w:num w:numId="120" w16cid:durableId="1014919561">
    <w:abstractNumId w:val="108"/>
  </w:num>
  <w:num w:numId="121" w16cid:durableId="83428967">
    <w:abstractNumId w:val="109"/>
  </w:num>
  <w:num w:numId="122" w16cid:durableId="1617059503">
    <w:abstractNumId w:val="110"/>
  </w:num>
  <w:num w:numId="123" w16cid:durableId="1399129230">
    <w:abstractNumId w:val="134"/>
  </w:num>
  <w:num w:numId="124" w16cid:durableId="1165316682">
    <w:abstractNumId w:val="119"/>
  </w:num>
  <w:num w:numId="125" w16cid:durableId="1891723449">
    <w:abstractNumId w:val="115"/>
  </w:num>
  <w:num w:numId="126" w16cid:durableId="50085408">
    <w:abstractNumId w:val="111"/>
  </w:num>
  <w:num w:numId="127" w16cid:durableId="684944891">
    <w:abstractNumId w:val="131"/>
  </w:num>
  <w:num w:numId="128" w16cid:durableId="2054381236">
    <w:abstractNumId w:val="135"/>
  </w:num>
  <w:num w:numId="129" w16cid:durableId="2059816527">
    <w:abstractNumId w:val="127"/>
  </w:num>
  <w:num w:numId="130" w16cid:durableId="1304653460">
    <w:abstractNumId w:val="124"/>
  </w:num>
  <w:num w:numId="131" w16cid:durableId="1742553986">
    <w:abstractNumId w:val="132"/>
  </w:num>
  <w:num w:numId="132" w16cid:durableId="1007296150">
    <w:abstractNumId w:val="125"/>
  </w:num>
  <w:num w:numId="133" w16cid:durableId="63454716">
    <w:abstractNumId w:val="122"/>
  </w:num>
  <w:num w:numId="134" w16cid:durableId="95094123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476412161">
    <w:abstractNumId w:val="136"/>
  </w:num>
  <w:num w:numId="136" w16cid:durableId="1372338961">
    <w:abstractNumId w:val="116"/>
  </w:num>
  <w:num w:numId="137" w16cid:durableId="431778985">
    <w:abstractNumId w:val="130"/>
  </w:num>
  <w:num w:numId="138" w16cid:durableId="1892766910">
    <w:abstractNumId w:val="128"/>
  </w:num>
  <w:num w:numId="139" w16cid:durableId="15010633">
    <w:abstractNumId w:val="120"/>
  </w:num>
  <w:num w:numId="140" w16cid:durableId="1367827825">
    <w:abstractNumId w:val="112"/>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E09"/>
    <w:rsid w:val="00000736"/>
    <w:rsid w:val="00000A0F"/>
    <w:rsid w:val="000010F4"/>
    <w:rsid w:val="0000135D"/>
    <w:rsid w:val="00001E52"/>
    <w:rsid w:val="000024A3"/>
    <w:rsid w:val="0000414F"/>
    <w:rsid w:val="00004599"/>
    <w:rsid w:val="0000572C"/>
    <w:rsid w:val="000058C9"/>
    <w:rsid w:val="00006497"/>
    <w:rsid w:val="00006CF9"/>
    <w:rsid w:val="0000723F"/>
    <w:rsid w:val="0001003B"/>
    <w:rsid w:val="000114D3"/>
    <w:rsid w:val="00012FBD"/>
    <w:rsid w:val="00013F6F"/>
    <w:rsid w:val="00015002"/>
    <w:rsid w:val="00015686"/>
    <w:rsid w:val="00016183"/>
    <w:rsid w:val="000163EE"/>
    <w:rsid w:val="00017355"/>
    <w:rsid w:val="00017686"/>
    <w:rsid w:val="00017DF5"/>
    <w:rsid w:val="000207F7"/>
    <w:rsid w:val="000208F5"/>
    <w:rsid w:val="000211A5"/>
    <w:rsid w:val="00021481"/>
    <w:rsid w:val="00021687"/>
    <w:rsid w:val="00021987"/>
    <w:rsid w:val="000224FD"/>
    <w:rsid w:val="000227F8"/>
    <w:rsid w:val="000265B3"/>
    <w:rsid w:val="00026C64"/>
    <w:rsid w:val="00026CF2"/>
    <w:rsid w:val="000271B8"/>
    <w:rsid w:val="0002772E"/>
    <w:rsid w:val="0002798F"/>
    <w:rsid w:val="000279A5"/>
    <w:rsid w:val="000300F4"/>
    <w:rsid w:val="000302DD"/>
    <w:rsid w:val="000305C6"/>
    <w:rsid w:val="00031A6C"/>
    <w:rsid w:val="0003230F"/>
    <w:rsid w:val="00032392"/>
    <w:rsid w:val="00032FF7"/>
    <w:rsid w:val="000333C1"/>
    <w:rsid w:val="00034738"/>
    <w:rsid w:val="000347CE"/>
    <w:rsid w:val="0003482B"/>
    <w:rsid w:val="00034C19"/>
    <w:rsid w:val="00035668"/>
    <w:rsid w:val="00035ECE"/>
    <w:rsid w:val="00036081"/>
    <w:rsid w:val="00037F9F"/>
    <w:rsid w:val="0004052C"/>
    <w:rsid w:val="000420F7"/>
    <w:rsid w:val="00042160"/>
    <w:rsid w:val="000423CC"/>
    <w:rsid w:val="0004252F"/>
    <w:rsid w:val="000429BA"/>
    <w:rsid w:val="0004388F"/>
    <w:rsid w:val="00043941"/>
    <w:rsid w:val="00044045"/>
    <w:rsid w:val="00044B21"/>
    <w:rsid w:val="000464C3"/>
    <w:rsid w:val="00047911"/>
    <w:rsid w:val="00050A47"/>
    <w:rsid w:val="00050C14"/>
    <w:rsid w:val="000518AD"/>
    <w:rsid w:val="00051CAE"/>
    <w:rsid w:val="000522FA"/>
    <w:rsid w:val="0005294F"/>
    <w:rsid w:val="000535B8"/>
    <w:rsid w:val="00054F06"/>
    <w:rsid w:val="0005534D"/>
    <w:rsid w:val="0005545B"/>
    <w:rsid w:val="000554E1"/>
    <w:rsid w:val="0005784C"/>
    <w:rsid w:val="000605D3"/>
    <w:rsid w:val="000607F6"/>
    <w:rsid w:val="00060A20"/>
    <w:rsid w:val="00061358"/>
    <w:rsid w:val="000613DE"/>
    <w:rsid w:val="000620E4"/>
    <w:rsid w:val="00063D70"/>
    <w:rsid w:val="00064178"/>
    <w:rsid w:val="0006423E"/>
    <w:rsid w:val="00064443"/>
    <w:rsid w:val="0006453C"/>
    <w:rsid w:val="000647E4"/>
    <w:rsid w:val="00064D91"/>
    <w:rsid w:val="00064E1C"/>
    <w:rsid w:val="000675CC"/>
    <w:rsid w:val="00067685"/>
    <w:rsid w:val="00067B9D"/>
    <w:rsid w:val="000707F0"/>
    <w:rsid w:val="000712D4"/>
    <w:rsid w:val="0007195E"/>
    <w:rsid w:val="00072130"/>
    <w:rsid w:val="000723D6"/>
    <w:rsid w:val="00072833"/>
    <w:rsid w:val="0007388C"/>
    <w:rsid w:val="00075462"/>
    <w:rsid w:val="000759EE"/>
    <w:rsid w:val="0007735E"/>
    <w:rsid w:val="0007768A"/>
    <w:rsid w:val="00077A92"/>
    <w:rsid w:val="00080C12"/>
    <w:rsid w:val="00080D33"/>
    <w:rsid w:val="00080D3F"/>
    <w:rsid w:val="000816F4"/>
    <w:rsid w:val="000822BF"/>
    <w:rsid w:val="0008260C"/>
    <w:rsid w:val="00082C7F"/>
    <w:rsid w:val="00083A8B"/>
    <w:rsid w:val="00085766"/>
    <w:rsid w:val="0008591E"/>
    <w:rsid w:val="00086035"/>
    <w:rsid w:val="000861A7"/>
    <w:rsid w:val="0008690E"/>
    <w:rsid w:val="000869DB"/>
    <w:rsid w:val="00087634"/>
    <w:rsid w:val="000878A0"/>
    <w:rsid w:val="00087FCC"/>
    <w:rsid w:val="00092923"/>
    <w:rsid w:val="00092D8E"/>
    <w:rsid w:val="00092E7F"/>
    <w:rsid w:val="00093110"/>
    <w:rsid w:val="00093379"/>
    <w:rsid w:val="000939E7"/>
    <w:rsid w:val="000951C3"/>
    <w:rsid w:val="000977B0"/>
    <w:rsid w:val="00097C18"/>
    <w:rsid w:val="00097DD5"/>
    <w:rsid w:val="00097E74"/>
    <w:rsid w:val="00097EB8"/>
    <w:rsid w:val="000A0D83"/>
    <w:rsid w:val="000A2BBB"/>
    <w:rsid w:val="000A2FA1"/>
    <w:rsid w:val="000A326E"/>
    <w:rsid w:val="000A33E7"/>
    <w:rsid w:val="000A38A0"/>
    <w:rsid w:val="000A44D3"/>
    <w:rsid w:val="000A5510"/>
    <w:rsid w:val="000A590A"/>
    <w:rsid w:val="000A6293"/>
    <w:rsid w:val="000A6A20"/>
    <w:rsid w:val="000A6B5F"/>
    <w:rsid w:val="000A70EA"/>
    <w:rsid w:val="000A7BC9"/>
    <w:rsid w:val="000B0206"/>
    <w:rsid w:val="000B0319"/>
    <w:rsid w:val="000B1490"/>
    <w:rsid w:val="000B36FD"/>
    <w:rsid w:val="000B3BCE"/>
    <w:rsid w:val="000B4B49"/>
    <w:rsid w:val="000B4B74"/>
    <w:rsid w:val="000B4B87"/>
    <w:rsid w:val="000B4C78"/>
    <w:rsid w:val="000B517B"/>
    <w:rsid w:val="000B5489"/>
    <w:rsid w:val="000B56D4"/>
    <w:rsid w:val="000B571B"/>
    <w:rsid w:val="000B6231"/>
    <w:rsid w:val="000B73BF"/>
    <w:rsid w:val="000C0C60"/>
    <w:rsid w:val="000C1F3A"/>
    <w:rsid w:val="000C20B6"/>
    <w:rsid w:val="000C23DE"/>
    <w:rsid w:val="000C2760"/>
    <w:rsid w:val="000C3235"/>
    <w:rsid w:val="000C484C"/>
    <w:rsid w:val="000C6544"/>
    <w:rsid w:val="000C719D"/>
    <w:rsid w:val="000C78FF"/>
    <w:rsid w:val="000D03B8"/>
    <w:rsid w:val="000D0A64"/>
    <w:rsid w:val="000D0AC5"/>
    <w:rsid w:val="000D167B"/>
    <w:rsid w:val="000D1A6F"/>
    <w:rsid w:val="000D1E9C"/>
    <w:rsid w:val="000D3373"/>
    <w:rsid w:val="000D3AC5"/>
    <w:rsid w:val="000D5194"/>
    <w:rsid w:val="000D5235"/>
    <w:rsid w:val="000D5984"/>
    <w:rsid w:val="000D649E"/>
    <w:rsid w:val="000D6BF1"/>
    <w:rsid w:val="000D6EDA"/>
    <w:rsid w:val="000D779E"/>
    <w:rsid w:val="000D7AF8"/>
    <w:rsid w:val="000E0DB0"/>
    <w:rsid w:val="000E1C19"/>
    <w:rsid w:val="000E213E"/>
    <w:rsid w:val="000E21BA"/>
    <w:rsid w:val="000E24F7"/>
    <w:rsid w:val="000E317D"/>
    <w:rsid w:val="000E4629"/>
    <w:rsid w:val="000E4B96"/>
    <w:rsid w:val="000E4BA7"/>
    <w:rsid w:val="000E670F"/>
    <w:rsid w:val="000E6E22"/>
    <w:rsid w:val="000E76AF"/>
    <w:rsid w:val="000E76F7"/>
    <w:rsid w:val="000E77A1"/>
    <w:rsid w:val="000F00E2"/>
    <w:rsid w:val="000F06BD"/>
    <w:rsid w:val="000F25D2"/>
    <w:rsid w:val="000F2628"/>
    <w:rsid w:val="000F3465"/>
    <w:rsid w:val="000F360A"/>
    <w:rsid w:val="000F38DA"/>
    <w:rsid w:val="000F39E8"/>
    <w:rsid w:val="000F3E26"/>
    <w:rsid w:val="000F433B"/>
    <w:rsid w:val="000F4F7E"/>
    <w:rsid w:val="000F4FDA"/>
    <w:rsid w:val="000F5A00"/>
    <w:rsid w:val="000F5F0C"/>
    <w:rsid w:val="000F629A"/>
    <w:rsid w:val="000F6407"/>
    <w:rsid w:val="000F6CFF"/>
    <w:rsid w:val="000F6FFD"/>
    <w:rsid w:val="001003C8"/>
    <w:rsid w:val="001006E9"/>
    <w:rsid w:val="00100D98"/>
    <w:rsid w:val="0010228E"/>
    <w:rsid w:val="001028FC"/>
    <w:rsid w:val="00104526"/>
    <w:rsid w:val="001051E9"/>
    <w:rsid w:val="0010540F"/>
    <w:rsid w:val="00105D22"/>
    <w:rsid w:val="001067AB"/>
    <w:rsid w:val="00107B11"/>
    <w:rsid w:val="001104E5"/>
    <w:rsid w:val="00110C54"/>
    <w:rsid w:val="00110EE9"/>
    <w:rsid w:val="00113526"/>
    <w:rsid w:val="001138FF"/>
    <w:rsid w:val="001142CE"/>
    <w:rsid w:val="00114D8B"/>
    <w:rsid w:val="001155FB"/>
    <w:rsid w:val="00115C45"/>
    <w:rsid w:val="0011607E"/>
    <w:rsid w:val="001163D2"/>
    <w:rsid w:val="0011739C"/>
    <w:rsid w:val="001175BB"/>
    <w:rsid w:val="00117EAA"/>
    <w:rsid w:val="001210C5"/>
    <w:rsid w:val="00121349"/>
    <w:rsid w:val="001216AB"/>
    <w:rsid w:val="00121BF7"/>
    <w:rsid w:val="00122A17"/>
    <w:rsid w:val="00123112"/>
    <w:rsid w:val="00125105"/>
    <w:rsid w:val="001254F9"/>
    <w:rsid w:val="001258B2"/>
    <w:rsid w:val="00125C3F"/>
    <w:rsid w:val="001264DE"/>
    <w:rsid w:val="00126B51"/>
    <w:rsid w:val="00126CCE"/>
    <w:rsid w:val="00130B8C"/>
    <w:rsid w:val="001312BF"/>
    <w:rsid w:val="0013141E"/>
    <w:rsid w:val="00131FBF"/>
    <w:rsid w:val="00132CD1"/>
    <w:rsid w:val="00133408"/>
    <w:rsid w:val="00133E33"/>
    <w:rsid w:val="00134A43"/>
    <w:rsid w:val="00134B80"/>
    <w:rsid w:val="0013546F"/>
    <w:rsid w:val="00136B3D"/>
    <w:rsid w:val="00137355"/>
    <w:rsid w:val="001378F3"/>
    <w:rsid w:val="00137DA4"/>
    <w:rsid w:val="0014062C"/>
    <w:rsid w:val="00140923"/>
    <w:rsid w:val="00140AA7"/>
    <w:rsid w:val="00141C5A"/>
    <w:rsid w:val="00142621"/>
    <w:rsid w:val="00142819"/>
    <w:rsid w:val="00142D21"/>
    <w:rsid w:val="00142E2A"/>
    <w:rsid w:val="0014357A"/>
    <w:rsid w:val="00144B28"/>
    <w:rsid w:val="0014503F"/>
    <w:rsid w:val="00145C33"/>
    <w:rsid w:val="001461A0"/>
    <w:rsid w:val="00146AD8"/>
    <w:rsid w:val="0014789D"/>
    <w:rsid w:val="00147B13"/>
    <w:rsid w:val="00147BBD"/>
    <w:rsid w:val="00151326"/>
    <w:rsid w:val="00151A38"/>
    <w:rsid w:val="00151F81"/>
    <w:rsid w:val="001523A1"/>
    <w:rsid w:val="00152548"/>
    <w:rsid w:val="0015288B"/>
    <w:rsid w:val="001529A6"/>
    <w:rsid w:val="00153009"/>
    <w:rsid w:val="00153B08"/>
    <w:rsid w:val="0015468D"/>
    <w:rsid w:val="0015473A"/>
    <w:rsid w:val="00154AD6"/>
    <w:rsid w:val="001551F3"/>
    <w:rsid w:val="0015529B"/>
    <w:rsid w:val="00155353"/>
    <w:rsid w:val="00155C15"/>
    <w:rsid w:val="00155F1B"/>
    <w:rsid w:val="001570DF"/>
    <w:rsid w:val="00157344"/>
    <w:rsid w:val="001576AF"/>
    <w:rsid w:val="001619C3"/>
    <w:rsid w:val="00162564"/>
    <w:rsid w:val="00162585"/>
    <w:rsid w:val="001632D6"/>
    <w:rsid w:val="00163A49"/>
    <w:rsid w:val="00163AEE"/>
    <w:rsid w:val="00163CA5"/>
    <w:rsid w:val="0016423F"/>
    <w:rsid w:val="00164263"/>
    <w:rsid w:val="00164832"/>
    <w:rsid w:val="00164ACE"/>
    <w:rsid w:val="00164E14"/>
    <w:rsid w:val="001659EF"/>
    <w:rsid w:val="001661FC"/>
    <w:rsid w:val="00166AA7"/>
    <w:rsid w:val="00166ECF"/>
    <w:rsid w:val="001674FF"/>
    <w:rsid w:val="00167724"/>
    <w:rsid w:val="00167906"/>
    <w:rsid w:val="001703A5"/>
    <w:rsid w:val="00170C36"/>
    <w:rsid w:val="00170F42"/>
    <w:rsid w:val="00171873"/>
    <w:rsid w:val="0017227C"/>
    <w:rsid w:val="00172396"/>
    <w:rsid w:val="0017285F"/>
    <w:rsid w:val="00172C7F"/>
    <w:rsid w:val="0017379C"/>
    <w:rsid w:val="00173D9E"/>
    <w:rsid w:val="00173ED6"/>
    <w:rsid w:val="00173F70"/>
    <w:rsid w:val="00174D6B"/>
    <w:rsid w:val="00174E0C"/>
    <w:rsid w:val="001755DF"/>
    <w:rsid w:val="0017569C"/>
    <w:rsid w:val="00175C5D"/>
    <w:rsid w:val="00176BE4"/>
    <w:rsid w:val="0018004B"/>
    <w:rsid w:val="001826F9"/>
    <w:rsid w:val="00182801"/>
    <w:rsid w:val="00183CC7"/>
    <w:rsid w:val="00185D38"/>
    <w:rsid w:val="001864AE"/>
    <w:rsid w:val="00186C61"/>
    <w:rsid w:val="001879D7"/>
    <w:rsid w:val="00192771"/>
    <w:rsid w:val="00192935"/>
    <w:rsid w:val="00192E35"/>
    <w:rsid w:val="00192E62"/>
    <w:rsid w:val="00194AA2"/>
    <w:rsid w:val="00194F5C"/>
    <w:rsid w:val="00195842"/>
    <w:rsid w:val="0019587E"/>
    <w:rsid w:val="001965A5"/>
    <w:rsid w:val="00196847"/>
    <w:rsid w:val="00196AD4"/>
    <w:rsid w:val="001978BF"/>
    <w:rsid w:val="00197AE4"/>
    <w:rsid w:val="001A03CC"/>
    <w:rsid w:val="001A04BE"/>
    <w:rsid w:val="001A0CED"/>
    <w:rsid w:val="001A0D33"/>
    <w:rsid w:val="001A180A"/>
    <w:rsid w:val="001A1BD9"/>
    <w:rsid w:val="001A1EBA"/>
    <w:rsid w:val="001A2360"/>
    <w:rsid w:val="001A294D"/>
    <w:rsid w:val="001A327D"/>
    <w:rsid w:val="001A3E2F"/>
    <w:rsid w:val="001A5772"/>
    <w:rsid w:val="001A5959"/>
    <w:rsid w:val="001A6511"/>
    <w:rsid w:val="001A7511"/>
    <w:rsid w:val="001A7C6A"/>
    <w:rsid w:val="001B109E"/>
    <w:rsid w:val="001B1F19"/>
    <w:rsid w:val="001B2F11"/>
    <w:rsid w:val="001B319F"/>
    <w:rsid w:val="001B3F63"/>
    <w:rsid w:val="001B52B2"/>
    <w:rsid w:val="001B5ABD"/>
    <w:rsid w:val="001B5AE2"/>
    <w:rsid w:val="001B5DA6"/>
    <w:rsid w:val="001B62D7"/>
    <w:rsid w:val="001C008A"/>
    <w:rsid w:val="001C0644"/>
    <w:rsid w:val="001C0D3C"/>
    <w:rsid w:val="001C2D7F"/>
    <w:rsid w:val="001C36E4"/>
    <w:rsid w:val="001C36FF"/>
    <w:rsid w:val="001C3B12"/>
    <w:rsid w:val="001C3E78"/>
    <w:rsid w:val="001C4A07"/>
    <w:rsid w:val="001C5245"/>
    <w:rsid w:val="001C548F"/>
    <w:rsid w:val="001C5D60"/>
    <w:rsid w:val="001C6891"/>
    <w:rsid w:val="001C7040"/>
    <w:rsid w:val="001D041D"/>
    <w:rsid w:val="001D1042"/>
    <w:rsid w:val="001D145B"/>
    <w:rsid w:val="001D1887"/>
    <w:rsid w:val="001D1C78"/>
    <w:rsid w:val="001D1ED1"/>
    <w:rsid w:val="001D2823"/>
    <w:rsid w:val="001D3373"/>
    <w:rsid w:val="001D39BF"/>
    <w:rsid w:val="001D40AE"/>
    <w:rsid w:val="001D4442"/>
    <w:rsid w:val="001D45CE"/>
    <w:rsid w:val="001D4DF4"/>
    <w:rsid w:val="001D51B3"/>
    <w:rsid w:val="001D5F89"/>
    <w:rsid w:val="001E0096"/>
    <w:rsid w:val="001E0FF3"/>
    <w:rsid w:val="001E1ACF"/>
    <w:rsid w:val="001E1DBF"/>
    <w:rsid w:val="001E2504"/>
    <w:rsid w:val="001E2AC8"/>
    <w:rsid w:val="001E2B79"/>
    <w:rsid w:val="001E3BFB"/>
    <w:rsid w:val="001E3E00"/>
    <w:rsid w:val="001E45A3"/>
    <w:rsid w:val="001E550F"/>
    <w:rsid w:val="001E58E6"/>
    <w:rsid w:val="001E696D"/>
    <w:rsid w:val="001E707A"/>
    <w:rsid w:val="001E79D3"/>
    <w:rsid w:val="001F04C7"/>
    <w:rsid w:val="001F0619"/>
    <w:rsid w:val="001F1A39"/>
    <w:rsid w:val="001F2798"/>
    <w:rsid w:val="001F28D6"/>
    <w:rsid w:val="001F291A"/>
    <w:rsid w:val="001F2A81"/>
    <w:rsid w:val="001F36FF"/>
    <w:rsid w:val="001F3BC5"/>
    <w:rsid w:val="001F4376"/>
    <w:rsid w:val="001F4A36"/>
    <w:rsid w:val="001F4EF3"/>
    <w:rsid w:val="001F51EE"/>
    <w:rsid w:val="001F556F"/>
    <w:rsid w:val="001F55B9"/>
    <w:rsid w:val="001F57BE"/>
    <w:rsid w:val="001F5A7D"/>
    <w:rsid w:val="001F643D"/>
    <w:rsid w:val="001F6944"/>
    <w:rsid w:val="001F7F1D"/>
    <w:rsid w:val="001F7F73"/>
    <w:rsid w:val="002001B6"/>
    <w:rsid w:val="002004AA"/>
    <w:rsid w:val="00203E78"/>
    <w:rsid w:val="002048AE"/>
    <w:rsid w:val="00204C4C"/>
    <w:rsid w:val="00206436"/>
    <w:rsid w:val="00206F23"/>
    <w:rsid w:val="002073F2"/>
    <w:rsid w:val="0020753C"/>
    <w:rsid w:val="00207987"/>
    <w:rsid w:val="00207DD3"/>
    <w:rsid w:val="002124B6"/>
    <w:rsid w:val="00212A61"/>
    <w:rsid w:val="00212F2F"/>
    <w:rsid w:val="00214313"/>
    <w:rsid w:val="00214B6E"/>
    <w:rsid w:val="00214F9F"/>
    <w:rsid w:val="00215B0B"/>
    <w:rsid w:val="0021716C"/>
    <w:rsid w:val="00220C3B"/>
    <w:rsid w:val="00220F51"/>
    <w:rsid w:val="00220F83"/>
    <w:rsid w:val="002221FD"/>
    <w:rsid w:val="00222FE3"/>
    <w:rsid w:val="00223C34"/>
    <w:rsid w:val="00225499"/>
    <w:rsid w:val="00225A54"/>
    <w:rsid w:val="00226353"/>
    <w:rsid w:val="00226EF0"/>
    <w:rsid w:val="002300F1"/>
    <w:rsid w:val="0023071D"/>
    <w:rsid w:val="00231B98"/>
    <w:rsid w:val="00232113"/>
    <w:rsid w:val="00232499"/>
    <w:rsid w:val="002327D0"/>
    <w:rsid w:val="00232E4A"/>
    <w:rsid w:val="002336F5"/>
    <w:rsid w:val="00234B31"/>
    <w:rsid w:val="00234CC3"/>
    <w:rsid w:val="00234CE4"/>
    <w:rsid w:val="0023551E"/>
    <w:rsid w:val="00236A95"/>
    <w:rsid w:val="002378AC"/>
    <w:rsid w:val="00241D3F"/>
    <w:rsid w:val="002437D5"/>
    <w:rsid w:val="002439C1"/>
    <w:rsid w:val="00246141"/>
    <w:rsid w:val="00246240"/>
    <w:rsid w:val="00246F15"/>
    <w:rsid w:val="00247569"/>
    <w:rsid w:val="00247923"/>
    <w:rsid w:val="00247EF1"/>
    <w:rsid w:val="00250B85"/>
    <w:rsid w:val="00250C35"/>
    <w:rsid w:val="00251523"/>
    <w:rsid w:val="002517F7"/>
    <w:rsid w:val="0025193A"/>
    <w:rsid w:val="002527B7"/>
    <w:rsid w:val="00252F85"/>
    <w:rsid w:val="00254ADF"/>
    <w:rsid w:val="00254C63"/>
    <w:rsid w:val="002552F6"/>
    <w:rsid w:val="00256F4A"/>
    <w:rsid w:val="00257712"/>
    <w:rsid w:val="00257C2E"/>
    <w:rsid w:val="002609A5"/>
    <w:rsid w:val="00262276"/>
    <w:rsid w:val="002624BF"/>
    <w:rsid w:val="00262943"/>
    <w:rsid w:val="00262DFE"/>
    <w:rsid w:val="00265F5C"/>
    <w:rsid w:val="00266E2B"/>
    <w:rsid w:val="002676B4"/>
    <w:rsid w:val="00267B09"/>
    <w:rsid w:val="002723A6"/>
    <w:rsid w:val="002728C7"/>
    <w:rsid w:val="00273BAE"/>
    <w:rsid w:val="00274264"/>
    <w:rsid w:val="00274609"/>
    <w:rsid w:val="00275FFD"/>
    <w:rsid w:val="002771C6"/>
    <w:rsid w:val="00277743"/>
    <w:rsid w:val="00280BCA"/>
    <w:rsid w:val="00281846"/>
    <w:rsid w:val="0028184A"/>
    <w:rsid w:val="002818FA"/>
    <w:rsid w:val="00282867"/>
    <w:rsid w:val="00282956"/>
    <w:rsid w:val="002835CB"/>
    <w:rsid w:val="002836C3"/>
    <w:rsid w:val="00283FB9"/>
    <w:rsid w:val="002847B5"/>
    <w:rsid w:val="00284A0B"/>
    <w:rsid w:val="00284F9E"/>
    <w:rsid w:val="00285924"/>
    <w:rsid w:val="002864D4"/>
    <w:rsid w:val="00286C49"/>
    <w:rsid w:val="00287195"/>
    <w:rsid w:val="0028788B"/>
    <w:rsid w:val="00291501"/>
    <w:rsid w:val="00291A14"/>
    <w:rsid w:val="00291B14"/>
    <w:rsid w:val="00292112"/>
    <w:rsid w:val="002924BC"/>
    <w:rsid w:val="0029261F"/>
    <w:rsid w:val="00292AA7"/>
    <w:rsid w:val="00292D53"/>
    <w:rsid w:val="00293195"/>
    <w:rsid w:val="00294144"/>
    <w:rsid w:val="002956A5"/>
    <w:rsid w:val="00295875"/>
    <w:rsid w:val="00296794"/>
    <w:rsid w:val="00296AD6"/>
    <w:rsid w:val="00296F34"/>
    <w:rsid w:val="002A03B3"/>
    <w:rsid w:val="002A0B45"/>
    <w:rsid w:val="002A0BC0"/>
    <w:rsid w:val="002A16CD"/>
    <w:rsid w:val="002A1ED8"/>
    <w:rsid w:val="002A26E8"/>
    <w:rsid w:val="002A391F"/>
    <w:rsid w:val="002A3981"/>
    <w:rsid w:val="002A40AC"/>
    <w:rsid w:val="002A4438"/>
    <w:rsid w:val="002A46D5"/>
    <w:rsid w:val="002A5301"/>
    <w:rsid w:val="002A53B2"/>
    <w:rsid w:val="002A5934"/>
    <w:rsid w:val="002A666C"/>
    <w:rsid w:val="002B01D9"/>
    <w:rsid w:val="002B070B"/>
    <w:rsid w:val="002B2C98"/>
    <w:rsid w:val="002B314E"/>
    <w:rsid w:val="002B3D58"/>
    <w:rsid w:val="002B4659"/>
    <w:rsid w:val="002B4BB4"/>
    <w:rsid w:val="002B5415"/>
    <w:rsid w:val="002B572D"/>
    <w:rsid w:val="002B65F0"/>
    <w:rsid w:val="002B68F3"/>
    <w:rsid w:val="002B7189"/>
    <w:rsid w:val="002B7726"/>
    <w:rsid w:val="002C061D"/>
    <w:rsid w:val="002C2E77"/>
    <w:rsid w:val="002C43DD"/>
    <w:rsid w:val="002C4508"/>
    <w:rsid w:val="002C4568"/>
    <w:rsid w:val="002C4AD8"/>
    <w:rsid w:val="002C593E"/>
    <w:rsid w:val="002C59C4"/>
    <w:rsid w:val="002C6376"/>
    <w:rsid w:val="002C6627"/>
    <w:rsid w:val="002C7D66"/>
    <w:rsid w:val="002D03E1"/>
    <w:rsid w:val="002D07DC"/>
    <w:rsid w:val="002D1594"/>
    <w:rsid w:val="002D16CB"/>
    <w:rsid w:val="002D25DF"/>
    <w:rsid w:val="002D2779"/>
    <w:rsid w:val="002D28AD"/>
    <w:rsid w:val="002D3269"/>
    <w:rsid w:val="002D3BC9"/>
    <w:rsid w:val="002D3F01"/>
    <w:rsid w:val="002D646D"/>
    <w:rsid w:val="002D6DE8"/>
    <w:rsid w:val="002D6F6C"/>
    <w:rsid w:val="002D72C1"/>
    <w:rsid w:val="002D7D89"/>
    <w:rsid w:val="002D7E4F"/>
    <w:rsid w:val="002E0173"/>
    <w:rsid w:val="002E0998"/>
    <w:rsid w:val="002E0DEC"/>
    <w:rsid w:val="002E18DD"/>
    <w:rsid w:val="002E1AEC"/>
    <w:rsid w:val="002E21CD"/>
    <w:rsid w:val="002E31BE"/>
    <w:rsid w:val="002E5494"/>
    <w:rsid w:val="002E5C3E"/>
    <w:rsid w:val="002E6803"/>
    <w:rsid w:val="002E790C"/>
    <w:rsid w:val="002F0552"/>
    <w:rsid w:val="002F0B28"/>
    <w:rsid w:val="002F142A"/>
    <w:rsid w:val="002F168E"/>
    <w:rsid w:val="002F1C2A"/>
    <w:rsid w:val="002F2645"/>
    <w:rsid w:val="002F33CC"/>
    <w:rsid w:val="002F4CF5"/>
    <w:rsid w:val="002F5C55"/>
    <w:rsid w:val="002F6B10"/>
    <w:rsid w:val="002F720C"/>
    <w:rsid w:val="00301B69"/>
    <w:rsid w:val="00301E4F"/>
    <w:rsid w:val="003027CF"/>
    <w:rsid w:val="00303296"/>
    <w:rsid w:val="00304595"/>
    <w:rsid w:val="003046AF"/>
    <w:rsid w:val="00305302"/>
    <w:rsid w:val="00307960"/>
    <w:rsid w:val="003102F0"/>
    <w:rsid w:val="0031084E"/>
    <w:rsid w:val="00311576"/>
    <w:rsid w:val="00311900"/>
    <w:rsid w:val="0031261F"/>
    <w:rsid w:val="0031456F"/>
    <w:rsid w:val="00314AE9"/>
    <w:rsid w:val="00315178"/>
    <w:rsid w:val="00315199"/>
    <w:rsid w:val="00315C9D"/>
    <w:rsid w:val="003163BB"/>
    <w:rsid w:val="00317C65"/>
    <w:rsid w:val="00317FD3"/>
    <w:rsid w:val="0032092A"/>
    <w:rsid w:val="00320E9E"/>
    <w:rsid w:val="00321F5A"/>
    <w:rsid w:val="00322279"/>
    <w:rsid w:val="003222BE"/>
    <w:rsid w:val="0032247C"/>
    <w:rsid w:val="00322EAB"/>
    <w:rsid w:val="00322F62"/>
    <w:rsid w:val="00323856"/>
    <w:rsid w:val="00323BB7"/>
    <w:rsid w:val="00323BC6"/>
    <w:rsid w:val="00324654"/>
    <w:rsid w:val="00324BCC"/>
    <w:rsid w:val="003255C6"/>
    <w:rsid w:val="003275C5"/>
    <w:rsid w:val="0032787A"/>
    <w:rsid w:val="0032791F"/>
    <w:rsid w:val="003301D6"/>
    <w:rsid w:val="00330C3E"/>
    <w:rsid w:val="00331396"/>
    <w:rsid w:val="003317EA"/>
    <w:rsid w:val="00331A52"/>
    <w:rsid w:val="00333586"/>
    <w:rsid w:val="003336DA"/>
    <w:rsid w:val="00334105"/>
    <w:rsid w:val="0033548E"/>
    <w:rsid w:val="00336435"/>
    <w:rsid w:val="00336583"/>
    <w:rsid w:val="00336595"/>
    <w:rsid w:val="00336773"/>
    <w:rsid w:val="0033758D"/>
    <w:rsid w:val="00340170"/>
    <w:rsid w:val="00340D7B"/>
    <w:rsid w:val="00340FC7"/>
    <w:rsid w:val="00342551"/>
    <w:rsid w:val="00342DC6"/>
    <w:rsid w:val="00343765"/>
    <w:rsid w:val="00343B24"/>
    <w:rsid w:val="00343F23"/>
    <w:rsid w:val="00345B1A"/>
    <w:rsid w:val="0034631C"/>
    <w:rsid w:val="00346A30"/>
    <w:rsid w:val="0034706E"/>
    <w:rsid w:val="00351416"/>
    <w:rsid w:val="00351524"/>
    <w:rsid w:val="00351923"/>
    <w:rsid w:val="00352C85"/>
    <w:rsid w:val="0035350F"/>
    <w:rsid w:val="003540CC"/>
    <w:rsid w:val="003541AC"/>
    <w:rsid w:val="00355868"/>
    <w:rsid w:val="003566A4"/>
    <w:rsid w:val="00356CFA"/>
    <w:rsid w:val="0035750E"/>
    <w:rsid w:val="00357AAD"/>
    <w:rsid w:val="00357D89"/>
    <w:rsid w:val="003600DE"/>
    <w:rsid w:val="003604CA"/>
    <w:rsid w:val="00360DBB"/>
    <w:rsid w:val="00361AA4"/>
    <w:rsid w:val="003622AE"/>
    <w:rsid w:val="003629AC"/>
    <w:rsid w:val="00362AF0"/>
    <w:rsid w:val="00366532"/>
    <w:rsid w:val="0036748D"/>
    <w:rsid w:val="00367867"/>
    <w:rsid w:val="00367948"/>
    <w:rsid w:val="00367CE7"/>
    <w:rsid w:val="0037018C"/>
    <w:rsid w:val="0037050C"/>
    <w:rsid w:val="00370CF4"/>
    <w:rsid w:val="00370D39"/>
    <w:rsid w:val="00370DCE"/>
    <w:rsid w:val="003711D3"/>
    <w:rsid w:val="00371D7D"/>
    <w:rsid w:val="003723AF"/>
    <w:rsid w:val="00372437"/>
    <w:rsid w:val="00373153"/>
    <w:rsid w:val="00373DE2"/>
    <w:rsid w:val="00373E93"/>
    <w:rsid w:val="00374791"/>
    <w:rsid w:val="0037686D"/>
    <w:rsid w:val="003769C6"/>
    <w:rsid w:val="0037702B"/>
    <w:rsid w:val="00380177"/>
    <w:rsid w:val="003801B2"/>
    <w:rsid w:val="003805E1"/>
    <w:rsid w:val="00380866"/>
    <w:rsid w:val="00381753"/>
    <w:rsid w:val="00382872"/>
    <w:rsid w:val="00383631"/>
    <w:rsid w:val="00383F08"/>
    <w:rsid w:val="00384DFF"/>
    <w:rsid w:val="00384F4A"/>
    <w:rsid w:val="0038522D"/>
    <w:rsid w:val="00385346"/>
    <w:rsid w:val="00386AC4"/>
    <w:rsid w:val="0039092D"/>
    <w:rsid w:val="003928F2"/>
    <w:rsid w:val="00392AE1"/>
    <w:rsid w:val="00393D61"/>
    <w:rsid w:val="0039516B"/>
    <w:rsid w:val="003964F2"/>
    <w:rsid w:val="003969B6"/>
    <w:rsid w:val="00396ED1"/>
    <w:rsid w:val="00397606"/>
    <w:rsid w:val="003A0EB0"/>
    <w:rsid w:val="003A12B9"/>
    <w:rsid w:val="003A16D5"/>
    <w:rsid w:val="003A1A45"/>
    <w:rsid w:val="003A3B38"/>
    <w:rsid w:val="003A4781"/>
    <w:rsid w:val="003A5147"/>
    <w:rsid w:val="003B0AB9"/>
    <w:rsid w:val="003B1DFB"/>
    <w:rsid w:val="003B4864"/>
    <w:rsid w:val="003B4F9C"/>
    <w:rsid w:val="003B58B3"/>
    <w:rsid w:val="003B5EA1"/>
    <w:rsid w:val="003B66DC"/>
    <w:rsid w:val="003B66E7"/>
    <w:rsid w:val="003B72CE"/>
    <w:rsid w:val="003B75E1"/>
    <w:rsid w:val="003B792A"/>
    <w:rsid w:val="003C1E59"/>
    <w:rsid w:val="003C2A04"/>
    <w:rsid w:val="003C2FEE"/>
    <w:rsid w:val="003C3335"/>
    <w:rsid w:val="003C4197"/>
    <w:rsid w:val="003C4D3C"/>
    <w:rsid w:val="003C5EA0"/>
    <w:rsid w:val="003C666F"/>
    <w:rsid w:val="003C71CD"/>
    <w:rsid w:val="003C7544"/>
    <w:rsid w:val="003C757D"/>
    <w:rsid w:val="003C7E6E"/>
    <w:rsid w:val="003D16C1"/>
    <w:rsid w:val="003D2137"/>
    <w:rsid w:val="003D2291"/>
    <w:rsid w:val="003D2390"/>
    <w:rsid w:val="003D26BD"/>
    <w:rsid w:val="003D28A6"/>
    <w:rsid w:val="003D29D4"/>
    <w:rsid w:val="003D36BE"/>
    <w:rsid w:val="003D3700"/>
    <w:rsid w:val="003D43C5"/>
    <w:rsid w:val="003D5115"/>
    <w:rsid w:val="003D5705"/>
    <w:rsid w:val="003D6CE3"/>
    <w:rsid w:val="003D6D0B"/>
    <w:rsid w:val="003D73FF"/>
    <w:rsid w:val="003D7ED9"/>
    <w:rsid w:val="003D7EF5"/>
    <w:rsid w:val="003E09CA"/>
    <w:rsid w:val="003E1EF8"/>
    <w:rsid w:val="003E1FEE"/>
    <w:rsid w:val="003E2972"/>
    <w:rsid w:val="003E29AE"/>
    <w:rsid w:val="003E2E25"/>
    <w:rsid w:val="003E3689"/>
    <w:rsid w:val="003E3694"/>
    <w:rsid w:val="003E3E1D"/>
    <w:rsid w:val="003E4360"/>
    <w:rsid w:val="003E53F5"/>
    <w:rsid w:val="003E6309"/>
    <w:rsid w:val="003E740B"/>
    <w:rsid w:val="003F0E80"/>
    <w:rsid w:val="003F0F8C"/>
    <w:rsid w:val="003F1465"/>
    <w:rsid w:val="003F186E"/>
    <w:rsid w:val="003F1D1E"/>
    <w:rsid w:val="003F1ED7"/>
    <w:rsid w:val="003F29FD"/>
    <w:rsid w:val="003F2BB5"/>
    <w:rsid w:val="003F361E"/>
    <w:rsid w:val="003F366E"/>
    <w:rsid w:val="003F3CAE"/>
    <w:rsid w:val="003F3F58"/>
    <w:rsid w:val="003F4A19"/>
    <w:rsid w:val="003F63BA"/>
    <w:rsid w:val="003F7AC1"/>
    <w:rsid w:val="00401C32"/>
    <w:rsid w:val="0040314E"/>
    <w:rsid w:val="0040318E"/>
    <w:rsid w:val="004068A0"/>
    <w:rsid w:val="00406B40"/>
    <w:rsid w:val="0040749E"/>
    <w:rsid w:val="00410E35"/>
    <w:rsid w:val="00411471"/>
    <w:rsid w:val="00411585"/>
    <w:rsid w:val="00412482"/>
    <w:rsid w:val="00412F7E"/>
    <w:rsid w:val="00413C8E"/>
    <w:rsid w:val="004140A6"/>
    <w:rsid w:val="004140C0"/>
    <w:rsid w:val="004145D9"/>
    <w:rsid w:val="004145FD"/>
    <w:rsid w:val="00414DFD"/>
    <w:rsid w:val="004152BB"/>
    <w:rsid w:val="004153CF"/>
    <w:rsid w:val="004159CC"/>
    <w:rsid w:val="00416198"/>
    <w:rsid w:val="00416524"/>
    <w:rsid w:val="0041674B"/>
    <w:rsid w:val="004168FC"/>
    <w:rsid w:val="00416EB2"/>
    <w:rsid w:val="00417154"/>
    <w:rsid w:val="004203AD"/>
    <w:rsid w:val="0042060A"/>
    <w:rsid w:val="00422953"/>
    <w:rsid w:val="00423060"/>
    <w:rsid w:val="00423258"/>
    <w:rsid w:val="0042330C"/>
    <w:rsid w:val="00423C30"/>
    <w:rsid w:val="00425454"/>
    <w:rsid w:val="00425998"/>
    <w:rsid w:val="00425A07"/>
    <w:rsid w:val="00426546"/>
    <w:rsid w:val="0042689B"/>
    <w:rsid w:val="00426948"/>
    <w:rsid w:val="0042778C"/>
    <w:rsid w:val="00430DA2"/>
    <w:rsid w:val="00431561"/>
    <w:rsid w:val="00431CCD"/>
    <w:rsid w:val="00431F1A"/>
    <w:rsid w:val="0043215A"/>
    <w:rsid w:val="0043340B"/>
    <w:rsid w:val="00433A5C"/>
    <w:rsid w:val="00433B9F"/>
    <w:rsid w:val="00433C59"/>
    <w:rsid w:val="004340A4"/>
    <w:rsid w:val="004344A1"/>
    <w:rsid w:val="00435063"/>
    <w:rsid w:val="0043586A"/>
    <w:rsid w:val="00435B41"/>
    <w:rsid w:val="0043615F"/>
    <w:rsid w:val="0043755B"/>
    <w:rsid w:val="00440281"/>
    <w:rsid w:val="004405E0"/>
    <w:rsid w:val="00440681"/>
    <w:rsid w:val="0044074C"/>
    <w:rsid w:val="00441033"/>
    <w:rsid w:val="00441098"/>
    <w:rsid w:val="0044148D"/>
    <w:rsid w:val="0044157C"/>
    <w:rsid w:val="0044171F"/>
    <w:rsid w:val="00441B76"/>
    <w:rsid w:val="0044422F"/>
    <w:rsid w:val="00444C06"/>
    <w:rsid w:val="004453B3"/>
    <w:rsid w:val="00446027"/>
    <w:rsid w:val="00446072"/>
    <w:rsid w:val="00446440"/>
    <w:rsid w:val="004464B0"/>
    <w:rsid w:val="00446E1E"/>
    <w:rsid w:val="00447A99"/>
    <w:rsid w:val="00451050"/>
    <w:rsid w:val="00451BE9"/>
    <w:rsid w:val="00451DD0"/>
    <w:rsid w:val="00453D4D"/>
    <w:rsid w:val="00454035"/>
    <w:rsid w:val="0045592B"/>
    <w:rsid w:val="00457FC0"/>
    <w:rsid w:val="00460654"/>
    <w:rsid w:val="00460A6D"/>
    <w:rsid w:val="00460FFA"/>
    <w:rsid w:val="00461295"/>
    <w:rsid w:val="004617FB"/>
    <w:rsid w:val="00461C1E"/>
    <w:rsid w:val="00461F3B"/>
    <w:rsid w:val="004621A3"/>
    <w:rsid w:val="00462A6E"/>
    <w:rsid w:val="0046341B"/>
    <w:rsid w:val="004644F6"/>
    <w:rsid w:val="00464EE8"/>
    <w:rsid w:val="004651B3"/>
    <w:rsid w:val="004658DD"/>
    <w:rsid w:val="00466C25"/>
    <w:rsid w:val="00467532"/>
    <w:rsid w:val="004679FE"/>
    <w:rsid w:val="00470AE6"/>
    <w:rsid w:val="00470D2B"/>
    <w:rsid w:val="00472395"/>
    <w:rsid w:val="00472566"/>
    <w:rsid w:val="00473861"/>
    <w:rsid w:val="00473E36"/>
    <w:rsid w:val="004745D2"/>
    <w:rsid w:val="004746C6"/>
    <w:rsid w:val="0047478C"/>
    <w:rsid w:val="0047575D"/>
    <w:rsid w:val="004757C8"/>
    <w:rsid w:val="00476650"/>
    <w:rsid w:val="004808C9"/>
    <w:rsid w:val="00481D39"/>
    <w:rsid w:val="00482835"/>
    <w:rsid w:val="00483561"/>
    <w:rsid w:val="00484EDC"/>
    <w:rsid w:val="0048522B"/>
    <w:rsid w:val="0048522E"/>
    <w:rsid w:val="00485F42"/>
    <w:rsid w:val="004860ED"/>
    <w:rsid w:val="00486E71"/>
    <w:rsid w:val="0048739E"/>
    <w:rsid w:val="00487CA7"/>
    <w:rsid w:val="004901A2"/>
    <w:rsid w:val="00490C23"/>
    <w:rsid w:val="00490CAB"/>
    <w:rsid w:val="00491280"/>
    <w:rsid w:val="004915FF"/>
    <w:rsid w:val="00491B95"/>
    <w:rsid w:val="00491DF7"/>
    <w:rsid w:val="00491E19"/>
    <w:rsid w:val="00493DA6"/>
    <w:rsid w:val="00493FFD"/>
    <w:rsid w:val="0049501F"/>
    <w:rsid w:val="0049643F"/>
    <w:rsid w:val="00496879"/>
    <w:rsid w:val="00496BFE"/>
    <w:rsid w:val="00497ACB"/>
    <w:rsid w:val="004A0B81"/>
    <w:rsid w:val="004A0E38"/>
    <w:rsid w:val="004A1065"/>
    <w:rsid w:val="004A2F55"/>
    <w:rsid w:val="004A2F7A"/>
    <w:rsid w:val="004A3885"/>
    <w:rsid w:val="004A3B7D"/>
    <w:rsid w:val="004A477D"/>
    <w:rsid w:val="004A4C5B"/>
    <w:rsid w:val="004A4CD7"/>
    <w:rsid w:val="004A65ED"/>
    <w:rsid w:val="004A6864"/>
    <w:rsid w:val="004A74CB"/>
    <w:rsid w:val="004B0A96"/>
    <w:rsid w:val="004B12D6"/>
    <w:rsid w:val="004B12FA"/>
    <w:rsid w:val="004B170B"/>
    <w:rsid w:val="004B176E"/>
    <w:rsid w:val="004B2445"/>
    <w:rsid w:val="004B2BC4"/>
    <w:rsid w:val="004B355F"/>
    <w:rsid w:val="004B36A1"/>
    <w:rsid w:val="004B3BA2"/>
    <w:rsid w:val="004B4948"/>
    <w:rsid w:val="004B6784"/>
    <w:rsid w:val="004B68E2"/>
    <w:rsid w:val="004B694D"/>
    <w:rsid w:val="004B6BA0"/>
    <w:rsid w:val="004C07B5"/>
    <w:rsid w:val="004C13CA"/>
    <w:rsid w:val="004C1582"/>
    <w:rsid w:val="004C2764"/>
    <w:rsid w:val="004C287D"/>
    <w:rsid w:val="004C3374"/>
    <w:rsid w:val="004C3717"/>
    <w:rsid w:val="004C3C83"/>
    <w:rsid w:val="004C4E78"/>
    <w:rsid w:val="004C5C36"/>
    <w:rsid w:val="004C718A"/>
    <w:rsid w:val="004C7853"/>
    <w:rsid w:val="004D01BB"/>
    <w:rsid w:val="004D0C79"/>
    <w:rsid w:val="004D2067"/>
    <w:rsid w:val="004D2EC8"/>
    <w:rsid w:val="004D3AC3"/>
    <w:rsid w:val="004D3CC5"/>
    <w:rsid w:val="004D47CD"/>
    <w:rsid w:val="004D48D8"/>
    <w:rsid w:val="004D53B8"/>
    <w:rsid w:val="004D6477"/>
    <w:rsid w:val="004D68EF"/>
    <w:rsid w:val="004D7129"/>
    <w:rsid w:val="004D792C"/>
    <w:rsid w:val="004E0717"/>
    <w:rsid w:val="004E565B"/>
    <w:rsid w:val="004E58A5"/>
    <w:rsid w:val="004F0277"/>
    <w:rsid w:val="004F1A2B"/>
    <w:rsid w:val="004F2ADB"/>
    <w:rsid w:val="004F3578"/>
    <w:rsid w:val="004F3D57"/>
    <w:rsid w:val="004F3F8F"/>
    <w:rsid w:val="004F628F"/>
    <w:rsid w:val="004F675D"/>
    <w:rsid w:val="004F76C3"/>
    <w:rsid w:val="004F7C69"/>
    <w:rsid w:val="0050240D"/>
    <w:rsid w:val="005026EA"/>
    <w:rsid w:val="00502903"/>
    <w:rsid w:val="00502E4B"/>
    <w:rsid w:val="00503351"/>
    <w:rsid w:val="005038E9"/>
    <w:rsid w:val="0050471A"/>
    <w:rsid w:val="00505949"/>
    <w:rsid w:val="00506E4C"/>
    <w:rsid w:val="0050704B"/>
    <w:rsid w:val="005072A6"/>
    <w:rsid w:val="00510273"/>
    <w:rsid w:val="00510AC9"/>
    <w:rsid w:val="0051141D"/>
    <w:rsid w:val="005129DF"/>
    <w:rsid w:val="00512CEE"/>
    <w:rsid w:val="00513467"/>
    <w:rsid w:val="00513712"/>
    <w:rsid w:val="00513A86"/>
    <w:rsid w:val="00513F49"/>
    <w:rsid w:val="005144B6"/>
    <w:rsid w:val="005146D8"/>
    <w:rsid w:val="005148A3"/>
    <w:rsid w:val="00514927"/>
    <w:rsid w:val="00514F7A"/>
    <w:rsid w:val="005152B5"/>
    <w:rsid w:val="005154A3"/>
    <w:rsid w:val="00516917"/>
    <w:rsid w:val="005178E8"/>
    <w:rsid w:val="00517CA6"/>
    <w:rsid w:val="00520F4B"/>
    <w:rsid w:val="00521F1D"/>
    <w:rsid w:val="0052259F"/>
    <w:rsid w:val="00522A04"/>
    <w:rsid w:val="00522F6E"/>
    <w:rsid w:val="0052427E"/>
    <w:rsid w:val="0052511D"/>
    <w:rsid w:val="0052596E"/>
    <w:rsid w:val="0052597D"/>
    <w:rsid w:val="005263DA"/>
    <w:rsid w:val="00526695"/>
    <w:rsid w:val="00527995"/>
    <w:rsid w:val="00530939"/>
    <w:rsid w:val="00530B81"/>
    <w:rsid w:val="0053135B"/>
    <w:rsid w:val="005313FD"/>
    <w:rsid w:val="00531415"/>
    <w:rsid w:val="00531C6F"/>
    <w:rsid w:val="005325A5"/>
    <w:rsid w:val="00532DD5"/>
    <w:rsid w:val="00534252"/>
    <w:rsid w:val="005351F8"/>
    <w:rsid w:val="0053524B"/>
    <w:rsid w:val="00535A76"/>
    <w:rsid w:val="00535DC5"/>
    <w:rsid w:val="00536580"/>
    <w:rsid w:val="005368EE"/>
    <w:rsid w:val="00536B05"/>
    <w:rsid w:val="0053730C"/>
    <w:rsid w:val="005379B3"/>
    <w:rsid w:val="00537BF5"/>
    <w:rsid w:val="00540347"/>
    <w:rsid w:val="0054037C"/>
    <w:rsid w:val="005405EF"/>
    <w:rsid w:val="00540C16"/>
    <w:rsid w:val="005412E2"/>
    <w:rsid w:val="00541C4A"/>
    <w:rsid w:val="00542E57"/>
    <w:rsid w:val="005431EB"/>
    <w:rsid w:val="00543AC0"/>
    <w:rsid w:val="00543C5D"/>
    <w:rsid w:val="00544379"/>
    <w:rsid w:val="00544B7E"/>
    <w:rsid w:val="00545A53"/>
    <w:rsid w:val="00546249"/>
    <w:rsid w:val="0054630D"/>
    <w:rsid w:val="00550395"/>
    <w:rsid w:val="00550477"/>
    <w:rsid w:val="0055105D"/>
    <w:rsid w:val="00551A06"/>
    <w:rsid w:val="0055295E"/>
    <w:rsid w:val="0055361E"/>
    <w:rsid w:val="005548AD"/>
    <w:rsid w:val="0055500C"/>
    <w:rsid w:val="00555CAE"/>
    <w:rsid w:val="0055648C"/>
    <w:rsid w:val="00556E40"/>
    <w:rsid w:val="00557796"/>
    <w:rsid w:val="00557936"/>
    <w:rsid w:val="00557A4B"/>
    <w:rsid w:val="00560697"/>
    <w:rsid w:val="005611DA"/>
    <w:rsid w:val="005614DC"/>
    <w:rsid w:val="00561933"/>
    <w:rsid w:val="005623F2"/>
    <w:rsid w:val="0056530E"/>
    <w:rsid w:val="00566110"/>
    <w:rsid w:val="00566349"/>
    <w:rsid w:val="00566793"/>
    <w:rsid w:val="005667E4"/>
    <w:rsid w:val="00566E96"/>
    <w:rsid w:val="00570599"/>
    <w:rsid w:val="00570DAB"/>
    <w:rsid w:val="00571BFD"/>
    <w:rsid w:val="005720FE"/>
    <w:rsid w:val="005729D8"/>
    <w:rsid w:val="00573619"/>
    <w:rsid w:val="00573F17"/>
    <w:rsid w:val="00573F3E"/>
    <w:rsid w:val="0057460C"/>
    <w:rsid w:val="00574CC2"/>
    <w:rsid w:val="005764B2"/>
    <w:rsid w:val="00576D23"/>
    <w:rsid w:val="00576E5E"/>
    <w:rsid w:val="0058002D"/>
    <w:rsid w:val="0058075F"/>
    <w:rsid w:val="00581292"/>
    <w:rsid w:val="0058142A"/>
    <w:rsid w:val="005817E2"/>
    <w:rsid w:val="00581F3F"/>
    <w:rsid w:val="00582E63"/>
    <w:rsid w:val="00584606"/>
    <w:rsid w:val="00585DAE"/>
    <w:rsid w:val="00586F6F"/>
    <w:rsid w:val="00586FA6"/>
    <w:rsid w:val="00587364"/>
    <w:rsid w:val="0058748D"/>
    <w:rsid w:val="00587BA9"/>
    <w:rsid w:val="0059077B"/>
    <w:rsid w:val="00590ED1"/>
    <w:rsid w:val="0059233B"/>
    <w:rsid w:val="005929E3"/>
    <w:rsid w:val="00593967"/>
    <w:rsid w:val="005940E9"/>
    <w:rsid w:val="005940F8"/>
    <w:rsid w:val="005943FA"/>
    <w:rsid w:val="005945AD"/>
    <w:rsid w:val="00594FEC"/>
    <w:rsid w:val="005958D3"/>
    <w:rsid w:val="005978B1"/>
    <w:rsid w:val="00597FFD"/>
    <w:rsid w:val="005A0C01"/>
    <w:rsid w:val="005A154D"/>
    <w:rsid w:val="005A30E5"/>
    <w:rsid w:val="005A491C"/>
    <w:rsid w:val="005A4A84"/>
    <w:rsid w:val="005A5449"/>
    <w:rsid w:val="005A5F4E"/>
    <w:rsid w:val="005A6621"/>
    <w:rsid w:val="005A68AB"/>
    <w:rsid w:val="005A6FD4"/>
    <w:rsid w:val="005A76B1"/>
    <w:rsid w:val="005B0CA7"/>
    <w:rsid w:val="005B1300"/>
    <w:rsid w:val="005B17F8"/>
    <w:rsid w:val="005B1BC5"/>
    <w:rsid w:val="005B219E"/>
    <w:rsid w:val="005B2280"/>
    <w:rsid w:val="005B27EE"/>
    <w:rsid w:val="005B2E5C"/>
    <w:rsid w:val="005B310B"/>
    <w:rsid w:val="005B3CF7"/>
    <w:rsid w:val="005B40D0"/>
    <w:rsid w:val="005B48A1"/>
    <w:rsid w:val="005B4CD4"/>
    <w:rsid w:val="005B6750"/>
    <w:rsid w:val="005B784B"/>
    <w:rsid w:val="005C09F1"/>
    <w:rsid w:val="005C0FE0"/>
    <w:rsid w:val="005C1606"/>
    <w:rsid w:val="005C1747"/>
    <w:rsid w:val="005C1E58"/>
    <w:rsid w:val="005C2095"/>
    <w:rsid w:val="005C24AE"/>
    <w:rsid w:val="005C28ED"/>
    <w:rsid w:val="005C350B"/>
    <w:rsid w:val="005C5996"/>
    <w:rsid w:val="005C6270"/>
    <w:rsid w:val="005C75F5"/>
    <w:rsid w:val="005D0C23"/>
    <w:rsid w:val="005D0D0A"/>
    <w:rsid w:val="005D30B3"/>
    <w:rsid w:val="005D3210"/>
    <w:rsid w:val="005D3F97"/>
    <w:rsid w:val="005D653D"/>
    <w:rsid w:val="005D692F"/>
    <w:rsid w:val="005D7049"/>
    <w:rsid w:val="005D73CB"/>
    <w:rsid w:val="005D7789"/>
    <w:rsid w:val="005E003C"/>
    <w:rsid w:val="005E0C85"/>
    <w:rsid w:val="005E22F5"/>
    <w:rsid w:val="005E2527"/>
    <w:rsid w:val="005E2A38"/>
    <w:rsid w:val="005E2DCC"/>
    <w:rsid w:val="005E30C1"/>
    <w:rsid w:val="005E4A3E"/>
    <w:rsid w:val="005E4B1B"/>
    <w:rsid w:val="005E5512"/>
    <w:rsid w:val="005E55E4"/>
    <w:rsid w:val="005E5D37"/>
    <w:rsid w:val="005E5D47"/>
    <w:rsid w:val="005E6024"/>
    <w:rsid w:val="005E61C0"/>
    <w:rsid w:val="005E6253"/>
    <w:rsid w:val="005E6F31"/>
    <w:rsid w:val="005E728D"/>
    <w:rsid w:val="005E7BFA"/>
    <w:rsid w:val="005E7F76"/>
    <w:rsid w:val="005F0B68"/>
    <w:rsid w:val="005F0C22"/>
    <w:rsid w:val="005F1104"/>
    <w:rsid w:val="005F183A"/>
    <w:rsid w:val="005F2367"/>
    <w:rsid w:val="005F4026"/>
    <w:rsid w:val="005F48E9"/>
    <w:rsid w:val="005F4AA3"/>
    <w:rsid w:val="005F65B0"/>
    <w:rsid w:val="00600DA2"/>
    <w:rsid w:val="00601D3A"/>
    <w:rsid w:val="00603093"/>
    <w:rsid w:val="00603159"/>
    <w:rsid w:val="006040D7"/>
    <w:rsid w:val="00604474"/>
    <w:rsid w:val="006050ED"/>
    <w:rsid w:val="006072F5"/>
    <w:rsid w:val="006079BD"/>
    <w:rsid w:val="00610D91"/>
    <w:rsid w:val="00611A86"/>
    <w:rsid w:val="00611B13"/>
    <w:rsid w:val="00612808"/>
    <w:rsid w:val="006134CD"/>
    <w:rsid w:val="0061383E"/>
    <w:rsid w:val="006157AF"/>
    <w:rsid w:val="00616B03"/>
    <w:rsid w:val="00621371"/>
    <w:rsid w:val="00621967"/>
    <w:rsid w:val="00621B08"/>
    <w:rsid w:val="00621CAA"/>
    <w:rsid w:val="00621F52"/>
    <w:rsid w:val="00622814"/>
    <w:rsid w:val="00622DA1"/>
    <w:rsid w:val="0062334F"/>
    <w:rsid w:val="00623C13"/>
    <w:rsid w:val="006250BE"/>
    <w:rsid w:val="00625E5B"/>
    <w:rsid w:val="006262FF"/>
    <w:rsid w:val="006269DC"/>
    <w:rsid w:val="00627569"/>
    <w:rsid w:val="00627C2D"/>
    <w:rsid w:val="00632144"/>
    <w:rsid w:val="00633532"/>
    <w:rsid w:val="00633A8D"/>
    <w:rsid w:val="00633F53"/>
    <w:rsid w:val="006342C8"/>
    <w:rsid w:val="00634906"/>
    <w:rsid w:val="00635AAE"/>
    <w:rsid w:val="00635E5D"/>
    <w:rsid w:val="00636023"/>
    <w:rsid w:val="00636109"/>
    <w:rsid w:val="0063614E"/>
    <w:rsid w:val="0063615A"/>
    <w:rsid w:val="00636F59"/>
    <w:rsid w:val="00637892"/>
    <w:rsid w:val="00637A2C"/>
    <w:rsid w:val="006406B7"/>
    <w:rsid w:val="00641170"/>
    <w:rsid w:val="00641D13"/>
    <w:rsid w:val="00643231"/>
    <w:rsid w:val="00643266"/>
    <w:rsid w:val="00644B1C"/>
    <w:rsid w:val="006455E5"/>
    <w:rsid w:val="006457E7"/>
    <w:rsid w:val="00646788"/>
    <w:rsid w:val="00646EDB"/>
    <w:rsid w:val="006473AA"/>
    <w:rsid w:val="006473B7"/>
    <w:rsid w:val="006505FB"/>
    <w:rsid w:val="00650777"/>
    <w:rsid w:val="00651864"/>
    <w:rsid w:val="00651BDD"/>
    <w:rsid w:val="006523F2"/>
    <w:rsid w:val="00652633"/>
    <w:rsid w:val="0065286B"/>
    <w:rsid w:val="00654BD9"/>
    <w:rsid w:val="00656B4B"/>
    <w:rsid w:val="00656DD2"/>
    <w:rsid w:val="00657E9E"/>
    <w:rsid w:val="00657EBD"/>
    <w:rsid w:val="00660E3C"/>
    <w:rsid w:val="00661849"/>
    <w:rsid w:val="006621BD"/>
    <w:rsid w:val="006637C9"/>
    <w:rsid w:val="006640F0"/>
    <w:rsid w:val="00664EF8"/>
    <w:rsid w:val="006652FC"/>
    <w:rsid w:val="00665F06"/>
    <w:rsid w:val="00666402"/>
    <w:rsid w:val="006673C8"/>
    <w:rsid w:val="00670688"/>
    <w:rsid w:val="00671AC0"/>
    <w:rsid w:val="00673852"/>
    <w:rsid w:val="006745FA"/>
    <w:rsid w:val="00676D08"/>
    <w:rsid w:val="00676D0D"/>
    <w:rsid w:val="00676DA0"/>
    <w:rsid w:val="00680197"/>
    <w:rsid w:val="00680C59"/>
    <w:rsid w:val="00681379"/>
    <w:rsid w:val="006815A9"/>
    <w:rsid w:val="00681E09"/>
    <w:rsid w:val="00681EE8"/>
    <w:rsid w:val="00682019"/>
    <w:rsid w:val="00682FF5"/>
    <w:rsid w:val="00684191"/>
    <w:rsid w:val="00684DCF"/>
    <w:rsid w:val="006859B6"/>
    <w:rsid w:val="00687D6A"/>
    <w:rsid w:val="00687D76"/>
    <w:rsid w:val="00690C38"/>
    <w:rsid w:val="00690E24"/>
    <w:rsid w:val="00691EDB"/>
    <w:rsid w:val="006936B7"/>
    <w:rsid w:val="00693FAA"/>
    <w:rsid w:val="00694612"/>
    <w:rsid w:val="006946B6"/>
    <w:rsid w:val="0069532D"/>
    <w:rsid w:val="0069570C"/>
    <w:rsid w:val="00695A89"/>
    <w:rsid w:val="00696560"/>
    <w:rsid w:val="00697595"/>
    <w:rsid w:val="006A04F1"/>
    <w:rsid w:val="006A2029"/>
    <w:rsid w:val="006A281E"/>
    <w:rsid w:val="006A2FD2"/>
    <w:rsid w:val="006A3662"/>
    <w:rsid w:val="006A3AB7"/>
    <w:rsid w:val="006A3F58"/>
    <w:rsid w:val="006A3FF2"/>
    <w:rsid w:val="006A4025"/>
    <w:rsid w:val="006A4750"/>
    <w:rsid w:val="006A49F1"/>
    <w:rsid w:val="006A4E6F"/>
    <w:rsid w:val="006A543A"/>
    <w:rsid w:val="006A6FE0"/>
    <w:rsid w:val="006A7017"/>
    <w:rsid w:val="006A7235"/>
    <w:rsid w:val="006B0E04"/>
    <w:rsid w:val="006B1044"/>
    <w:rsid w:val="006B1646"/>
    <w:rsid w:val="006B1D5A"/>
    <w:rsid w:val="006B1E52"/>
    <w:rsid w:val="006B2166"/>
    <w:rsid w:val="006B26FE"/>
    <w:rsid w:val="006B2AF5"/>
    <w:rsid w:val="006B2DDA"/>
    <w:rsid w:val="006B3021"/>
    <w:rsid w:val="006B33B7"/>
    <w:rsid w:val="006B3BAD"/>
    <w:rsid w:val="006B3C3A"/>
    <w:rsid w:val="006B4CFF"/>
    <w:rsid w:val="006B5140"/>
    <w:rsid w:val="006B581A"/>
    <w:rsid w:val="006B6B67"/>
    <w:rsid w:val="006C020A"/>
    <w:rsid w:val="006C0297"/>
    <w:rsid w:val="006C06E1"/>
    <w:rsid w:val="006C11FA"/>
    <w:rsid w:val="006C1748"/>
    <w:rsid w:val="006C20B8"/>
    <w:rsid w:val="006C24D4"/>
    <w:rsid w:val="006C5B14"/>
    <w:rsid w:val="006C5EAA"/>
    <w:rsid w:val="006C5F24"/>
    <w:rsid w:val="006C667C"/>
    <w:rsid w:val="006C6DB9"/>
    <w:rsid w:val="006C71DC"/>
    <w:rsid w:val="006C7C27"/>
    <w:rsid w:val="006D06B9"/>
    <w:rsid w:val="006D0F8E"/>
    <w:rsid w:val="006D148E"/>
    <w:rsid w:val="006D180F"/>
    <w:rsid w:val="006D296D"/>
    <w:rsid w:val="006D3208"/>
    <w:rsid w:val="006D349D"/>
    <w:rsid w:val="006D3DBF"/>
    <w:rsid w:val="006D414B"/>
    <w:rsid w:val="006D41BD"/>
    <w:rsid w:val="006D47D5"/>
    <w:rsid w:val="006D4909"/>
    <w:rsid w:val="006D4959"/>
    <w:rsid w:val="006D4979"/>
    <w:rsid w:val="006D4BB2"/>
    <w:rsid w:val="006D4C15"/>
    <w:rsid w:val="006D55E7"/>
    <w:rsid w:val="006D5BB3"/>
    <w:rsid w:val="006D7832"/>
    <w:rsid w:val="006D7B52"/>
    <w:rsid w:val="006E08FF"/>
    <w:rsid w:val="006E1300"/>
    <w:rsid w:val="006E2999"/>
    <w:rsid w:val="006E2A49"/>
    <w:rsid w:val="006E3378"/>
    <w:rsid w:val="006E426A"/>
    <w:rsid w:val="006E43E8"/>
    <w:rsid w:val="006E447B"/>
    <w:rsid w:val="006E44EE"/>
    <w:rsid w:val="006E4AB6"/>
    <w:rsid w:val="006E5B74"/>
    <w:rsid w:val="006E6753"/>
    <w:rsid w:val="006E6B04"/>
    <w:rsid w:val="006F0461"/>
    <w:rsid w:val="006F204A"/>
    <w:rsid w:val="006F2C42"/>
    <w:rsid w:val="006F2F3A"/>
    <w:rsid w:val="006F3964"/>
    <w:rsid w:val="006F4212"/>
    <w:rsid w:val="006F4A45"/>
    <w:rsid w:val="006F5305"/>
    <w:rsid w:val="006F5659"/>
    <w:rsid w:val="006F5816"/>
    <w:rsid w:val="006F62CF"/>
    <w:rsid w:val="006F63E9"/>
    <w:rsid w:val="006F68CF"/>
    <w:rsid w:val="00700E40"/>
    <w:rsid w:val="00700F91"/>
    <w:rsid w:val="0070109A"/>
    <w:rsid w:val="007014E4"/>
    <w:rsid w:val="00701787"/>
    <w:rsid w:val="007018E0"/>
    <w:rsid w:val="0070205F"/>
    <w:rsid w:val="007021C0"/>
    <w:rsid w:val="00702C7C"/>
    <w:rsid w:val="00704263"/>
    <w:rsid w:val="00704603"/>
    <w:rsid w:val="00704CC5"/>
    <w:rsid w:val="00706736"/>
    <w:rsid w:val="007067D3"/>
    <w:rsid w:val="0070737C"/>
    <w:rsid w:val="00707E74"/>
    <w:rsid w:val="0071008C"/>
    <w:rsid w:val="007107D9"/>
    <w:rsid w:val="007108AF"/>
    <w:rsid w:val="007109A5"/>
    <w:rsid w:val="00712CF4"/>
    <w:rsid w:val="00712E19"/>
    <w:rsid w:val="007141A8"/>
    <w:rsid w:val="00714B53"/>
    <w:rsid w:val="00715084"/>
    <w:rsid w:val="0071675B"/>
    <w:rsid w:val="00716835"/>
    <w:rsid w:val="00716AB6"/>
    <w:rsid w:val="0071733E"/>
    <w:rsid w:val="0072094F"/>
    <w:rsid w:val="00720AAD"/>
    <w:rsid w:val="00721CCB"/>
    <w:rsid w:val="00721FE3"/>
    <w:rsid w:val="007223DE"/>
    <w:rsid w:val="007231C3"/>
    <w:rsid w:val="0072334A"/>
    <w:rsid w:val="0072484B"/>
    <w:rsid w:val="00724995"/>
    <w:rsid w:val="00724AB3"/>
    <w:rsid w:val="007254AD"/>
    <w:rsid w:val="0072602A"/>
    <w:rsid w:val="0072758E"/>
    <w:rsid w:val="00727CFA"/>
    <w:rsid w:val="00730028"/>
    <w:rsid w:val="0073254E"/>
    <w:rsid w:val="00732776"/>
    <w:rsid w:val="007331DB"/>
    <w:rsid w:val="007340BF"/>
    <w:rsid w:val="00734E02"/>
    <w:rsid w:val="0073585C"/>
    <w:rsid w:val="00735DAB"/>
    <w:rsid w:val="00736555"/>
    <w:rsid w:val="0073683A"/>
    <w:rsid w:val="00736E89"/>
    <w:rsid w:val="007409FC"/>
    <w:rsid w:val="00740B42"/>
    <w:rsid w:val="0074312F"/>
    <w:rsid w:val="007437A5"/>
    <w:rsid w:val="00743BD5"/>
    <w:rsid w:val="00743DEA"/>
    <w:rsid w:val="0074625B"/>
    <w:rsid w:val="0074728E"/>
    <w:rsid w:val="00750598"/>
    <w:rsid w:val="00751D23"/>
    <w:rsid w:val="00752BB2"/>
    <w:rsid w:val="00752DDD"/>
    <w:rsid w:val="00753227"/>
    <w:rsid w:val="00753BEF"/>
    <w:rsid w:val="00753C17"/>
    <w:rsid w:val="00754CCA"/>
    <w:rsid w:val="007556AA"/>
    <w:rsid w:val="00756481"/>
    <w:rsid w:val="0075749A"/>
    <w:rsid w:val="0075775C"/>
    <w:rsid w:val="00757BFF"/>
    <w:rsid w:val="00757F4D"/>
    <w:rsid w:val="00757F66"/>
    <w:rsid w:val="007602F5"/>
    <w:rsid w:val="007607CB"/>
    <w:rsid w:val="007608C3"/>
    <w:rsid w:val="00760FC4"/>
    <w:rsid w:val="007628E0"/>
    <w:rsid w:val="007630F5"/>
    <w:rsid w:val="00763290"/>
    <w:rsid w:val="007635F8"/>
    <w:rsid w:val="00763602"/>
    <w:rsid w:val="00764ABF"/>
    <w:rsid w:val="00764B6E"/>
    <w:rsid w:val="0076523B"/>
    <w:rsid w:val="00765492"/>
    <w:rsid w:val="00765630"/>
    <w:rsid w:val="00765987"/>
    <w:rsid w:val="00765F3B"/>
    <w:rsid w:val="007666C4"/>
    <w:rsid w:val="00766EAE"/>
    <w:rsid w:val="00770534"/>
    <w:rsid w:val="00770CF3"/>
    <w:rsid w:val="0077141E"/>
    <w:rsid w:val="00771E00"/>
    <w:rsid w:val="00772065"/>
    <w:rsid w:val="007723F2"/>
    <w:rsid w:val="007736B9"/>
    <w:rsid w:val="007743D6"/>
    <w:rsid w:val="0077684B"/>
    <w:rsid w:val="0077720B"/>
    <w:rsid w:val="007778EF"/>
    <w:rsid w:val="00780CD4"/>
    <w:rsid w:val="0078279C"/>
    <w:rsid w:val="00782A4D"/>
    <w:rsid w:val="00782B1A"/>
    <w:rsid w:val="00782CCE"/>
    <w:rsid w:val="00783BD6"/>
    <w:rsid w:val="00784EDE"/>
    <w:rsid w:val="007854E0"/>
    <w:rsid w:val="00786BD0"/>
    <w:rsid w:val="00786C45"/>
    <w:rsid w:val="00787BE7"/>
    <w:rsid w:val="0079235F"/>
    <w:rsid w:val="00792BB5"/>
    <w:rsid w:val="007933A5"/>
    <w:rsid w:val="00793741"/>
    <w:rsid w:val="00793F7C"/>
    <w:rsid w:val="007946B2"/>
    <w:rsid w:val="0079553A"/>
    <w:rsid w:val="00795AA2"/>
    <w:rsid w:val="00795CE3"/>
    <w:rsid w:val="00796343"/>
    <w:rsid w:val="00796755"/>
    <w:rsid w:val="00796AC3"/>
    <w:rsid w:val="00796C14"/>
    <w:rsid w:val="007973D5"/>
    <w:rsid w:val="00797C96"/>
    <w:rsid w:val="00797CFF"/>
    <w:rsid w:val="007A13EF"/>
    <w:rsid w:val="007A1713"/>
    <w:rsid w:val="007A1CF6"/>
    <w:rsid w:val="007A3787"/>
    <w:rsid w:val="007A3993"/>
    <w:rsid w:val="007A39A7"/>
    <w:rsid w:val="007A408C"/>
    <w:rsid w:val="007A4401"/>
    <w:rsid w:val="007A4E83"/>
    <w:rsid w:val="007A683B"/>
    <w:rsid w:val="007A6EC0"/>
    <w:rsid w:val="007A6F2E"/>
    <w:rsid w:val="007B24BF"/>
    <w:rsid w:val="007B2AE7"/>
    <w:rsid w:val="007B2C71"/>
    <w:rsid w:val="007B2D88"/>
    <w:rsid w:val="007B2F1A"/>
    <w:rsid w:val="007B397B"/>
    <w:rsid w:val="007B5437"/>
    <w:rsid w:val="007B5EBB"/>
    <w:rsid w:val="007B6FE6"/>
    <w:rsid w:val="007B7725"/>
    <w:rsid w:val="007B79E3"/>
    <w:rsid w:val="007C01AA"/>
    <w:rsid w:val="007C13CE"/>
    <w:rsid w:val="007C2353"/>
    <w:rsid w:val="007C275E"/>
    <w:rsid w:val="007C4778"/>
    <w:rsid w:val="007C63D3"/>
    <w:rsid w:val="007C6407"/>
    <w:rsid w:val="007C65B8"/>
    <w:rsid w:val="007C7968"/>
    <w:rsid w:val="007D0088"/>
    <w:rsid w:val="007D1693"/>
    <w:rsid w:val="007D1ED7"/>
    <w:rsid w:val="007D25F9"/>
    <w:rsid w:val="007D263C"/>
    <w:rsid w:val="007D27FF"/>
    <w:rsid w:val="007D2D56"/>
    <w:rsid w:val="007D3C7A"/>
    <w:rsid w:val="007D3F2B"/>
    <w:rsid w:val="007D5E7B"/>
    <w:rsid w:val="007D64EF"/>
    <w:rsid w:val="007E115B"/>
    <w:rsid w:val="007E1311"/>
    <w:rsid w:val="007E147C"/>
    <w:rsid w:val="007E16CB"/>
    <w:rsid w:val="007E262B"/>
    <w:rsid w:val="007E326A"/>
    <w:rsid w:val="007E32C3"/>
    <w:rsid w:val="007E56A1"/>
    <w:rsid w:val="007E583F"/>
    <w:rsid w:val="007E61EC"/>
    <w:rsid w:val="007E7D3A"/>
    <w:rsid w:val="007E7F0D"/>
    <w:rsid w:val="007F01F0"/>
    <w:rsid w:val="007F0448"/>
    <w:rsid w:val="007F046B"/>
    <w:rsid w:val="007F0C62"/>
    <w:rsid w:val="007F13D8"/>
    <w:rsid w:val="007F142A"/>
    <w:rsid w:val="007F1D87"/>
    <w:rsid w:val="007F1E88"/>
    <w:rsid w:val="007F251F"/>
    <w:rsid w:val="007F3154"/>
    <w:rsid w:val="007F4D65"/>
    <w:rsid w:val="007F55EE"/>
    <w:rsid w:val="007F5A7B"/>
    <w:rsid w:val="007F5D32"/>
    <w:rsid w:val="007F653B"/>
    <w:rsid w:val="007F7C8A"/>
    <w:rsid w:val="00801F81"/>
    <w:rsid w:val="00802AA3"/>
    <w:rsid w:val="00803453"/>
    <w:rsid w:val="00803B33"/>
    <w:rsid w:val="00803D9F"/>
    <w:rsid w:val="008049B1"/>
    <w:rsid w:val="00804EF4"/>
    <w:rsid w:val="00805F8B"/>
    <w:rsid w:val="00806044"/>
    <w:rsid w:val="00807595"/>
    <w:rsid w:val="00810033"/>
    <w:rsid w:val="008109B2"/>
    <w:rsid w:val="008113A7"/>
    <w:rsid w:val="00812F2F"/>
    <w:rsid w:val="008147B4"/>
    <w:rsid w:val="0081531E"/>
    <w:rsid w:val="00815CB3"/>
    <w:rsid w:val="00816889"/>
    <w:rsid w:val="00816FCB"/>
    <w:rsid w:val="0081740B"/>
    <w:rsid w:val="00817834"/>
    <w:rsid w:val="00821AF3"/>
    <w:rsid w:val="00821BC7"/>
    <w:rsid w:val="00821C8E"/>
    <w:rsid w:val="00822A19"/>
    <w:rsid w:val="00823408"/>
    <w:rsid w:val="0082385E"/>
    <w:rsid w:val="00823F18"/>
    <w:rsid w:val="00824100"/>
    <w:rsid w:val="008245A8"/>
    <w:rsid w:val="0082557F"/>
    <w:rsid w:val="00825D7F"/>
    <w:rsid w:val="00826A3C"/>
    <w:rsid w:val="00827830"/>
    <w:rsid w:val="008301A9"/>
    <w:rsid w:val="00830342"/>
    <w:rsid w:val="00830463"/>
    <w:rsid w:val="0083091A"/>
    <w:rsid w:val="00831B62"/>
    <w:rsid w:val="0083231B"/>
    <w:rsid w:val="0083499D"/>
    <w:rsid w:val="00836F1D"/>
    <w:rsid w:val="00840316"/>
    <w:rsid w:val="008417CA"/>
    <w:rsid w:val="0084262B"/>
    <w:rsid w:val="00843AA2"/>
    <w:rsid w:val="00844912"/>
    <w:rsid w:val="008449D8"/>
    <w:rsid w:val="008451C8"/>
    <w:rsid w:val="00845282"/>
    <w:rsid w:val="008463C0"/>
    <w:rsid w:val="00846614"/>
    <w:rsid w:val="00846C0D"/>
    <w:rsid w:val="00846DA7"/>
    <w:rsid w:val="00846F14"/>
    <w:rsid w:val="008478E1"/>
    <w:rsid w:val="0085099E"/>
    <w:rsid w:val="00850DD4"/>
    <w:rsid w:val="008517A3"/>
    <w:rsid w:val="00852718"/>
    <w:rsid w:val="00852AF3"/>
    <w:rsid w:val="00853A4F"/>
    <w:rsid w:val="00854629"/>
    <w:rsid w:val="00856BBA"/>
    <w:rsid w:val="00857C29"/>
    <w:rsid w:val="008605AD"/>
    <w:rsid w:val="008606CC"/>
    <w:rsid w:val="008617A1"/>
    <w:rsid w:val="0086372A"/>
    <w:rsid w:val="00864AF9"/>
    <w:rsid w:val="0086574A"/>
    <w:rsid w:val="0086692F"/>
    <w:rsid w:val="00867A83"/>
    <w:rsid w:val="00870ADB"/>
    <w:rsid w:val="00871AB3"/>
    <w:rsid w:val="00871D29"/>
    <w:rsid w:val="0087238E"/>
    <w:rsid w:val="00872E0F"/>
    <w:rsid w:val="008736AC"/>
    <w:rsid w:val="00873EEE"/>
    <w:rsid w:val="008751DC"/>
    <w:rsid w:val="00875483"/>
    <w:rsid w:val="0087576B"/>
    <w:rsid w:val="00875F06"/>
    <w:rsid w:val="00876331"/>
    <w:rsid w:val="00877987"/>
    <w:rsid w:val="00877D70"/>
    <w:rsid w:val="00880356"/>
    <w:rsid w:val="00880F5F"/>
    <w:rsid w:val="00881607"/>
    <w:rsid w:val="00882C8F"/>
    <w:rsid w:val="00884E10"/>
    <w:rsid w:val="00885FA7"/>
    <w:rsid w:val="008860BD"/>
    <w:rsid w:val="0088734A"/>
    <w:rsid w:val="00891726"/>
    <w:rsid w:val="00891819"/>
    <w:rsid w:val="0089258D"/>
    <w:rsid w:val="00892E1E"/>
    <w:rsid w:val="008955B1"/>
    <w:rsid w:val="008958EE"/>
    <w:rsid w:val="00895F7F"/>
    <w:rsid w:val="00896EEC"/>
    <w:rsid w:val="0089707C"/>
    <w:rsid w:val="008A024B"/>
    <w:rsid w:val="008A09D0"/>
    <w:rsid w:val="008A3A3E"/>
    <w:rsid w:val="008A42AE"/>
    <w:rsid w:val="008A4450"/>
    <w:rsid w:val="008A4943"/>
    <w:rsid w:val="008A4F13"/>
    <w:rsid w:val="008A51CA"/>
    <w:rsid w:val="008A54D3"/>
    <w:rsid w:val="008A5A92"/>
    <w:rsid w:val="008A5B65"/>
    <w:rsid w:val="008A5BBD"/>
    <w:rsid w:val="008A5BDA"/>
    <w:rsid w:val="008A6A0F"/>
    <w:rsid w:val="008A6AEA"/>
    <w:rsid w:val="008A704B"/>
    <w:rsid w:val="008A7E77"/>
    <w:rsid w:val="008B1095"/>
    <w:rsid w:val="008B1611"/>
    <w:rsid w:val="008B2EA6"/>
    <w:rsid w:val="008B3E9F"/>
    <w:rsid w:val="008B4198"/>
    <w:rsid w:val="008B4722"/>
    <w:rsid w:val="008B4C87"/>
    <w:rsid w:val="008B59F1"/>
    <w:rsid w:val="008B68DA"/>
    <w:rsid w:val="008B707A"/>
    <w:rsid w:val="008B7297"/>
    <w:rsid w:val="008C0330"/>
    <w:rsid w:val="008C06D2"/>
    <w:rsid w:val="008C2019"/>
    <w:rsid w:val="008C2260"/>
    <w:rsid w:val="008C2BFB"/>
    <w:rsid w:val="008C3227"/>
    <w:rsid w:val="008C3291"/>
    <w:rsid w:val="008C4982"/>
    <w:rsid w:val="008C49F6"/>
    <w:rsid w:val="008C5871"/>
    <w:rsid w:val="008C5CF8"/>
    <w:rsid w:val="008C5CFC"/>
    <w:rsid w:val="008C5D26"/>
    <w:rsid w:val="008C703E"/>
    <w:rsid w:val="008C753F"/>
    <w:rsid w:val="008C7CBB"/>
    <w:rsid w:val="008D0088"/>
    <w:rsid w:val="008D12A8"/>
    <w:rsid w:val="008D12D9"/>
    <w:rsid w:val="008D1A22"/>
    <w:rsid w:val="008D22B3"/>
    <w:rsid w:val="008D2EC3"/>
    <w:rsid w:val="008D3058"/>
    <w:rsid w:val="008D32EB"/>
    <w:rsid w:val="008D354A"/>
    <w:rsid w:val="008D3827"/>
    <w:rsid w:val="008D3995"/>
    <w:rsid w:val="008D41D5"/>
    <w:rsid w:val="008D518E"/>
    <w:rsid w:val="008D56B7"/>
    <w:rsid w:val="008D69F4"/>
    <w:rsid w:val="008D6B83"/>
    <w:rsid w:val="008D703C"/>
    <w:rsid w:val="008D75FB"/>
    <w:rsid w:val="008D7641"/>
    <w:rsid w:val="008D77B3"/>
    <w:rsid w:val="008D785A"/>
    <w:rsid w:val="008E0EAC"/>
    <w:rsid w:val="008E105D"/>
    <w:rsid w:val="008E2021"/>
    <w:rsid w:val="008E2438"/>
    <w:rsid w:val="008E29EE"/>
    <w:rsid w:val="008E2D69"/>
    <w:rsid w:val="008E413E"/>
    <w:rsid w:val="008E41CD"/>
    <w:rsid w:val="008E4283"/>
    <w:rsid w:val="008E49FF"/>
    <w:rsid w:val="008E5BA6"/>
    <w:rsid w:val="008E727F"/>
    <w:rsid w:val="008E74EE"/>
    <w:rsid w:val="008F0BDE"/>
    <w:rsid w:val="008F24E9"/>
    <w:rsid w:val="008F2735"/>
    <w:rsid w:val="008F3465"/>
    <w:rsid w:val="008F352B"/>
    <w:rsid w:val="008F4D89"/>
    <w:rsid w:val="008F58F1"/>
    <w:rsid w:val="008F5F4E"/>
    <w:rsid w:val="008F6DD6"/>
    <w:rsid w:val="008F72FF"/>
    <w:rsid w:val="008F7ED2"/>
    <w:rsid w:val="009014B3"/>
    <w:rsid w:val="0090168C"/>
    <w:rsid w:val="009017F5"/>
    <w:rsid w:val="00902299"/>
    <w:rsid w:val="00902772"/>
    <w:rsid w:val="00902A13"/>
    <w:rsid w:val="0090377E"/>
    <w:rsid w:val="00903987"/>
    <w:rsid w:val="00903B12"/>
    <w:rsid w:val="009045F4"/>
    <w:rsid w:val="0090467C"/>
    <w:rsid w:val="0090535D"/>
    <w:rsid w:val="0090592F"/>
    <w:rsid w:val="009063FE"/>
    <w:rsid w:val="00907123"/>
    <w:rsid w:val="009078A8"/>
    <w:rsid w:val="00907E05"/>
    <w:rsid w:val="00907E7D"/>
    <w:rsid w:val="00907E9E"/>
    <w:rsid w:val="00911C2B"/>
    <w:rsid w:val="00912A68"/>
    <w:rsid w:val="00913D01"/>
    <w:rsid w:val="0091476E"/>
    <w:rsid w:val="0091498B"/>
    <w:rsid w:val="00914C3F"/>
    <w:rsid w:val="00914E23"/>
    <w:rsid w:val="00914E57"/>
    <w:rsid w:val="00915033"/>
    <w:rsid w:val="00915835"/>
    <w:rsid w:val="00916630"/>
    <w:rsid w:val="00916987"/>
    <w:rsid w:val="009170B9"/>
    <w:rsid w:val="00917EBE"/>
    <w:rsid w:val="00917F20"/>
    <w:rsid w:val="0092038E"/>
    <w:rsid w:val="00920F59"/>
    <w:rsid w:val="00923C4C"/>
    <w:rsid w:val="00924B6D"/>
    <w:rsid w:val="00925B54"/>
    <w:rsid w:val="009274F2"/>
    <w:rsid w:val="009275AE"/>
    <w:rsid w:val="0093090A"/>
    <w:rsid w:val="00930A70"/>
    <w:rsid w:val="00930E63"/>
    <w:rsid w:val="00930F61"/>
    <w:rsid w:val="00931093"/>
    <w:rsid w:val="00931453"/>
    <w:rsid w:val="0093195A"/>
    <w:rsid w:val="00931DBA"/>
    <w:rsid w:val="00931EB5"/>
    <w:rsid w:val="00933404"/>
    <w:rsid w:val="0093493B"/>
    <w:rsid w:val="00934AE1"/>
    <w:rsid w:val="009371D4"/>
    <w:rsid w:val="009378A2"/>
    <w:rsid w:val="009410B0"/>
    <w:rsid w:val="00941142"/>
    <w:rsid w:val="00941EF5"/>
    <w:rsid w:val="009429FA"/>
    <w:rsid w:val="00942A19"/>
    <w:rsid w:val="00943739"/>
    <w:rsid w:val="00943747"/>
    <w:rsid w:val="0094383C"/>
    <w:rsid w:val="0094385E"/>
    <w:rsid w:val="00943956"/>
    <w:rsid w:val="0094483D"/>
    <w:rsid w:val="00945F3E"/>
    <w:rsid w:val="0094605F"/>
    <w:rsid w:val="00946080"/>
    <w:rsid w:val="00946541"/>
    <w:rsid w:val="00946ADF"/>
    <w:rsid w:val="00946F71"/>
    <w:rsid w:val="00947050"/>
    <w:rsid w:val="00950500"/>
    <w:rsid w:val="00951880"/>
    <w:rsid w:val="00953108"/>
    <w:rsid w:val="0095341D"/>
    <w:rsid w:val="00953578"/>
    <w:rsid w:val="00953630"/>
    <w:rsid w:val="0095389E"/>
    <w:rsid w:val="00954640"/>
    <w:rsid w:val="00954933"/>
    <w:rsid w:val="00957CC0"/>
    <w:rsid w:val="00960DB4"/>
    <w:rsid w:val="00964DBB"/>
    <w:rsid w:val="00967872"/>
    <w:rsid w:val="00967E7B"/>
    <w:rsid w:val="009711EE"/>
    <w:rsid w:val="009718DF"/>
    <w:rsid w:val="0097201F"/>
    <w:rsid w:val="00972742"/>
    <w:rsid w:val="00972C34"/>
    <w:rsid w:val="009732AE"/>
    <w:rsid w:val="00973F75"/>
    <w:rsid w:val="0097444A"/>
    <w:rsid w:val="00974887"/>
    <w:rsid w:val="00974ED5"/>
    <w:rsid w:val="00975BDD"/>
    <w:rsid w:val="00975ED3"/>
    <w:rsid w:val="00977661"/>
    <w:rsid w:val="00977E3E"/>
    <w:rsid w:val="00980273"/>
    <w:rsid w:val="00980646"/>
    <w:rsid w:val="00981379"/>
    <w:rsid w:val="009825BD"/>
    <w:rsid w:val="00982DE5"/>
    <w:rsid w:val="00983FD3"/>
    <w:rsid w:val="0098480C"/>
    <w:rsid w:val="009848BA"/>
    <w:rsid w:val="0098596D"/>
    <w:rsid w:val="00985E2E"/>
    <w:rsid w:val="0098623A"/>
    <w:rsid w:val="0098671E"/>
    <w:rsid w:val="00987007"/>
    <w:rsid w:val="00987259"/>
    <w:rsid w:val="009874FD"/>
    <w:rsid w:val="00987639"/>
    <w:rsid w:val="00987843"/>
    <w:rsid w:val="00987BF7"/>
    <w:rsid w:val="009907C6"/>
    <w:rsid w:val="00991DE5"/>
    <w:rsid w:val="00994055"/>
    <w:rsid w:val="00994C71"/>
    <w:rsid w:val="00997622"/>
    <w:rsid w:val="009976F3"/>
    <w:rsid w:val="00997C5F"/>
    <w:rsid w:val="009A1D95"/>
    <w:rsid w:val="009A267B"/>
    <w:rsid w:val="009A2B81"/>
    <w:rsid w:val="009A2D3E"/>
    <w:rsid w:val="009A2EAF"/>
    <w:rsid w:val="009A3D48"/>
    <w:rsid w:val="009A3DE4"/>
    <w:rsid w:val="009A3EAE"/>
    <w:rsid w:val="009A54B8"/>
    <w:rsid w:val="009A5B55"/>
    <w:rsid w:val="009A6048"/>
    <w:rsid w:val="009B06B4"/>
    <w:rsid w:val="009B0D96"/>
    <w:rsid w:val="009B1033"/>
    <w:rsid w:val="009B1615"/>
    <w:rsid w:val="009B1618"/>
    <w:rsid w:val="009B1DFD"/>
    <w:rsid w:val="009B2908"/>
    <w:rsid w:val="009B3578"/>
    <w:rsid w:val="009B361C"/>
    <w:rsid w:val="009B400E"/>
    <w:rsid w:val="009B603F"/>
    <w:rsid w:val="009B690E"/>
    <w:rsid w:val="009B6AD3"/>
    <w:rsid w:val="009B6B5F"/>
    <w:rsid w:val="009C021E"/>
    <w:rsid w:val="009C1467"/>
    <w:rsid w:val="009C1686"/>
    <w:rsid w:val="009C21D2"/>
    <w:rsid w:val="009C3B5B"/>
    <w:rsid w:val="009C523B"/>
    <w:rsid w:val="009C611F"/>
    <w:rsid w:val="009C7665"/>
    <w:rsid w:val="009D0404"/>
    <w:rsid w:val="009D0AE0"/>
    <w:rsid w:val="009D0E9E"/>
    <w:rsid w:val="009D119D"/>
    <w:rsid w:val="009D1572"/>
    <w:rsid w:val="009D2BEE"/>
    <w:rsid w:val="009D2DD6"/>
    <w:rsid w:val="009D493E"/>
    <w:rsid w:val="009D4C80"/>
    <w:rsid w:val="009D519F"/>
    <w:rsid w:val="009D593E"/>
    <w:rsid w:val="009D60E8"/>
    <w:rsid w:val="009D7AEB"/>
    <w:rsid w:val="009D7DFB"/>
    <w:rsid w:val="009D7F5D"/>
    <w:rsid w:val="009E08A8"/>
    <w:rsid w:val="009E1F8D"/>
    <w:rsid w:val="009E1FE0"/>
    <w:rsid w:val="009E2596"/>
    <w:rsid w:val="009E273E"/>
    <w:rsid w:val="009E2905"/>
    <w:rsid w:val="009E3B58"/>
    <w:rsid w:val="009E47E3"/>
    <w:rsid w:val="009E4D0C"/>
    <w:rsid w:val="009E5AE0"/>
    <w:rsid w:val="009E5CFC"/>
    <w:rsid w:val="009E6640"/>
    <w:rsid w:val="009E66AC"/>
    <w:rsid w:val="009E66E8"/>
    <w:rsid w:val="009E6EDB"/>
    <w:rsid w:val="009E7B69"/>
    <w:rsid w:val="009F07F9"/>
    <w:rsid w:val="009F0D3D"/>
    <w:rsid w:val="009F1341"/>
    <w:rsid w:val="009F2054"/>
    <w:rsid w:val="009F2EFA"/>
    <w:rsid w:val="009F3453"/>
    <w:rsid w:val="009F4284"/>
    <w:rsid w:val="009F488D"/>
    <w:rsid w:val="009F519F"/>
    <w:rsid w:val="009F5227"/>
    <w:rsid w:val="009F584C"/>
    <w:rsid w:val="009F5E4F"/>
    <w:rsid w:val="009F60BF"/>
    <w:rsid w:val="009F6127"/>
    <w:rsid w:val="009F70B3"/>
    <w:rsid w:val="009F7394"/>
    <w:rsid w:val="009F779E"/>
    <w:rsid w:val="009F7948"/>
    <w:rsid w:val="009F7CB4"/>
    <w:rsid w:val="00A00E7E"/>
    <w:rsid w:val="00A01018"/>
    <w:rsid w:val="00A01DCA"/>
    <w:rsid w:val="00A02B04"/>
    <w:rsid w:val="00A034BD"/>
    <w:rsid w:val="00A0359A"/>
    <w:rsid w:val="00A0387C"/>
    <w:rsid w:val="00A0392F"/>
    <w:rsid w:val="00A04108"/>
    <w:rsid w:val="00A04C49"/>
    <w:rsid w:val="00A04FFD"/>
    <w:rsid w:val="00A05385"/>
    <w:rsid w:val="00A0566F"/>
    <w:rsid w:val="00A05F38"/>
    <w:rsid w:val="00A05FEC"/>
    <w:rsid w:val="00A062D8"/>
    <w:rsid w:val="00A0700A"/>
    <w:rsid w:val="00A07049"/>
    <w:rsid w:val="00A07638"/>
    <w:rsid w:val="00A07A19"/>
    <w:rsid w:val="00A10370"/>
    <w:rsid w:val="00A11008"/>
    <w:rsid w:val="00A1102B"/>
    <w:rsid w:val="00A111A4"/>
    <w:rsid w:val="00A114B2"/>
    <w:rsid w:val="00A11AA7"/>
    <w:rsid w:val="00A12549"/>
    <w:rsid w:val="00A1303A"/>
    <w:rsid w:val="00A13171"/>
    <w:rsid w:val="00A14EF4"/>
    <w:rsid w:val="00A1519C"/>
    <w:rsid w:val="00A15C09"/>
    <w:rsid w:val="00A16475"/>
    <w:rsid w:val="00A16898"/>
    <w:rsid w:val="00A16F1B"/>
    <w:rsid w:val="00A170BA"/>
    <w:rsid w:val="00A208C1"/>
    <w:rsid w:val="00A20ECA"/>
    <w:rsid w:val="00A21C21"/>
    <w:rsid w:val="00A21F31"/>
    <w:rsid w:val="00A22F48"/>
    <w:rsid w:val="00A24168"/>
    <w:rsid w:val="00A24969"/>
    <w:rsid w:val="00A24F51"/>
    <w:rsid w:val="00A250DB"/>
    <w:rsid w:val="00A25243"/>
    <w:rsid w:val="00A254B0"/>
    <w:rsid w:val="00A25ADE"/>
    <w:rsid w:val="00A25F57"/>
    <w:rsid w:val="00A2729E"/>
    <w:rsid w:val="00A3183F"/>
    <w:rsid w:val="00A32281"/>
    <w:rsid w:val="00A335C2"/>
    <w:rsid w:val="00A335E6"/>
    <w:rsid w:val="00A33824"/>
    <w:rsid w:val="00A342A8"/>
    <w:rsid w:val="00A34324"/>
    <w:rsid w:val="00A343AB"/>
    <w:rsid w:val="00A34A78"/>
    <w:rsid w:val="00A34C20"/>
    <w:rsid w:val="00A35AF5"/>
    <w:rsid w:val="00A3665B"/>
    <w:rsid w:val="00A36F15"/>
    <w:rsid w:val="00A37527"/>
    <w:rsid w:val="00A406AC"/>
    <w:rsid w:val="00A41175"/>
    <w:rsid w:val="00A421C2"/>
    <w:rsid w:val="00A42491"/>
    <w:rsid w:val="00A42C12"/>
    <w:rsid w:val="00A42CF4"/>
    <w:rsid w:val="00A433A7"/>
    <w:rsid w:val="00A43EDD"/>
    <w:rsid w:val="00A442C3"/>
    <w:rsid w:val="00A44F97"/>
    <w:rsid w:val="00A45417"/>
    <w:rsid w:val="00A45743"/>
    <w:rsid w:val="00A46119"/>
    <w:rsid w:val="00A46415"/>
    <w:rsid w:val="00A4661C"/>
    <w:rsid w:val="00A466E6"/>
    <w:rsid w:val="00A46781"/>
    <w:rsid w:val="00A46AEA"/>
    <w:rsid w:val="00A47720"/>
    <w:rsid w:val="00A4782F"/>
    <w:rsid w:val="00A50938"/>
    <w:rsid w:val="00A511AC"/>
    <w:rsid w:val="00A523BB"/>
    <w:rsid w:val="00A528F4"/>
    <w:rsid w:val="00A540E8"/>
    <w:rsid w:val="00A547A6"/>
    <w:rsid w:val="00A557AE"/>
    <w:rsid w:val="00A55DF1"/>
    <w:rsid w:val="00A567AA"/>
    <w:rsid w:val="00A60E58"/>
    <w:rsid w:val="00A61AA7"/>
    <w:rsid w:val="00A61C7E"/>
    <w:rsid w:val="00A61F55"/>
    <w:rsid w:val="00A62AEC"/>
    <w:rsid w:val="00A638A5"/>
    <w:rsid w:val="00A63A30"/>
    <w:rsid w:val="00A63BD5"/>
    <w:rsid w:val="00A63E21"/>
    <w:rsid w:val="00A63FCE"/>
    <w:rsid w:val="00A64AA1"/>
    <w:rsid w:val="00A64F58"/>
    <w:rsid w:val="00A6517C"/>
    <w:rsid w:val="00A65B79"/>
    <w:rsid w:val="00A66051"/>
    <w:rsid w:val="00A6661D"/>
    <w:rsid w:val="00A70C1B"/>
    <w:rsid w:val="00A716C4"/>
    <w:rsid w:val="00A72B83"/>
    <w:rsid w:val="00A72C0B"/>
    <w:rsid w:val="00A738EE"/>
    <w:rsid w:val="00A744B8"/>
    <w:rsid w:val="00A75815"/>
    <w:rsid w:val="00A76889"/>
    <w:rsid w:val="00A76A34"/>
    <w:rsid w:val="00A76FA7"/>
    <w:rsid w:val="00A770D2"/>
    <w:rsid w:val="00A77640"/>
    <w:rsid w:val="00A813AB"/>
    <w:rsid w:val="00A823EE"/>
    <w:rsid w:val="00A82C77"/>
    <w:rsid w:val="00A83B53"/>
    <w:rsid w:val="00A844A0"/>
    <w:rsid w:val="00A8461F"/>
    <w:rsid w:val="00A8463A"/>
    <w:rsid w:val="00A8508A"/>
    <w:rsid w:val="00A8593C"/>
    <w:rsid w:val="00A85B0A"/>
    <w:rsid w:val="00A862D7"/>
    <w:rsid w:val="00A86C1F"/>
    <w:rsid w:val="00A87582"/>
    <w:rsid w:val="00A87B29"/>
    <w:rsid w:val="00A9022C"/>
    <w:rsid w:val="00A91B9B"/>
    <w:rsid w:val="00A91D40"/>
    <w:rsid w:val="00A91F96"/>
    <w:rsid w:val="00A93C2E"/>
    <w:rsid w:val="00A94BB4"/>
    <w:rsid w:val="00A95B5F"/>
    <w:rsid w:val="00A967B3"/>
    <w:rsid w:val="00A975D9"/>
    <w:rsid w:val="00AA124B"/>
    <w:rsid w:val="00AA1491"/>
    <w:rsid w:val="00AA17B1"/>
    <w:rsid w:val="00AA2305"/>
    <w:rsid w:val="00AA2747"/>
    <w:rsid w:val="00AA2B98"/>
    <w:rsid w:val="00AA2EE2"/>
    <w:rsid w:val="00AA3A7F"/>
    <w:rsid w:val="00AA4796"/>
    <w:rsid w:val="00AA62C0"/>
    <w:rsid w:val="00AA6C24"/>
    <w:rsid w:val="00AA7634"/>
    <w:rsid w:val="00AA7B55"/>
    <w:rsid w:val="00AB015E"/>
    <w:rsid w:val="00AB44B1"/>
    <w:rsid w:val="00AB4694"/>
    <w:rsid w:val="00AB4721"/>
    <w:rsid w:val="00AB4917"/>
    <w:rsid w:val="00AB5137"/>
    <w:rsid w:val="00AB56CE"/>
    <w:rsid w:val="00AB6234"/>
    <w:rsid w:val="00AB68A2"/>
    <w:rsid w:val="00AB7401"/>
    <w:rsid w:val="00AB7D43"/>
    <w:rsid w:val="00AC1CD2"/>
    <w:rsid w:val="00AC1E62"/>
    <w:rsid w:val="00AC295F"/>
    <w:rsid w:val="00AC31BD"/>
    <w:rsid w:val="00AC3363"/>
    <w:rsid w:val="00AC35FA"/>
    <w:rsid w:val="00AC4DA4"/>
    <w:rsid w:val="00AC4DA6"/>
    <w:rsid w:val="00AC4DC4"/>
    <w:rsid w:val="00AC4E6F"/>
    <w:rsid w:val="00AC6592"/>
    <w:rsid w:val="00AC6703"/>
    <w:rsid w:val="00AC778B"/>
    <w:rsid w:val="00AC78F0"/>
    <w:rsid w:val="00AD02AC"/>
    <w:rsid w:val="00AD0C9A"/>
    <w:rsid w:val="00AD1381"/>
    <w:rsid w:val="00AD31BA"/>
    <w:rsid w:val="00AD3537"/>
    <w:rsid w:val="00AD355E"/>
    <w:rsid w:val="00AD3643"/>
    <w:rsid w:val="00AD4AA2"/>
    <w:rsid w:val="00AD559F"/>
    <w:rsid w:val="00AE0EB3"/>
    <w:rsid w:val="00AE152E"/>
    <w:rsid w:val="00AE167C"/>
    <w:rsid w:val="00AE1D2B"/>
    <w:rsid w:val="00AE3FB1"/>
    <w:rsid w:val="00AE5522"/>
    <w:rsid w:val="00AE5A2C"/>
    <w:rsid w:val="00AE5BD0"/>
    <w:rsid w:val="00AE679E"/>
    <w:rsid w:val="00AF0C73"/>
    <w:rsid w:val="00AF17F5"/>
    <w:rsid w:val="00AF1B0C"/>
    <w:rsid w:val="00AF2837"/>
    <w:rsid w:val="00AF2A00"/>
    <w:rsid w:val="00AF3153"/>
    <w:rsid w:val="00AF3D09"/>
    <w:rsid w:val="00AF3D41"/>
    <w:rsid w:val="00AF3D9B"/>
    <w:rsid w:val="00AF3EE7"/>
    <w:rsid w:val="00AF4DB5"/>
    <w:rsid w:val="00AF53E9"/>
    <w:rsid w:val="00AF5428"/>
    <w:rsid w:val="00AF62F3"/>
    <w:rsid w:val="00AF6359"/>
    <w:rsid w:val="00AF63FE"/>
    <w:rsid w:val="00AF65C7"/>
    <w:rsid w:val="00AF67FB"/>
    <w:rsid w:val="00AF75B8"/>
    <w:rsid w:val="00AF7BEC"/>
    <w:rsid w:val="00AF7CD5"/>
    <w:rsid w:val="00AF7F4B"/>
    <w:rsid w:val="00B013AA"/>
    <w:rsid w:val="00B02256"/>
    <w:rsid w:val="00B0267C"/>
    <w:rsid w:val="00B027F4"/>
    <w:rsid w:val="00B03BCB"/>
    <w:rsid w:val="00B03C0C"/>
    <w:rsid w:val="00B04F20"/>
    <w:rsid w:val="00B064AD"/>
    <w:rsid w:val="00B06AC7"/>
    <w:rsid w:val="00B06B21"/>
    <w:rsid w:val="00B071ED"/>
    <w:rsid w:val="00B074C0"/>
    <w:rsid w:val="00B07510"/>
    <w:rsid w:val="00B075CA"/>
    <w:rsid w:val="00B07A8A"/>
    <w:rsid w:val="00B07D02"/>
    <w:rsid w:val="00B1084F"/>
    <w:rsid w:val="00B10B76"/>
    <w:rsid w:val="00B10DAD"/>
    <w:rsid w:val="00B13FE5"/>
    <w:rsid w:val="00B1413B"/>
    <w:rsid w:val="00B15313"/>
    <w:rsid w:val="00B1630B"/>
    <w:rsid w:val="00B204DE"/>
    <w:rsid w:val="00B208AB"/>
    <w:rsid w:val="00B210DB"/>
    <w:rsid w:val="00B213A8"/>
    <w:rsid w:val="00B214EB"/>
    <w:rsid w:val="00B224F1"/>
    <w:rsid w:val="00B22AF5"/>
    <w:rsid w:val="00B22C84"/>
    <w:rsid w:val="00B22D4A"/>
    <w:rsid w:val="00B242D6"/>
    <w:rsid w:val="00B246DF"/>
    <w:rsid w:val="00B258F7"/>
    <w:rsid w:val="00B271F8"/>
    <w:rsid w:val="00B27582"/>
    <w:rsid w:val="00B27F33"/>
    <w:rsid w:val="00B303B7"/>
    <w:rsid w:val="00B3134E"/>
    <w:rsid w:val="00B31D75"/>
    <w:rsid w:val="00B31EC5"/>
    <w:rsid w:val="00B32140"/>
    <w:rsid w:val="00B323C5"/>
    <w:rsid w:val="00B32E13"/>
    <w:rsid w:val="00B3329C"/>
    <w:rsid w:val="00B345FE"/>
    <w:rsid w:val="00B34915"/>
    <w:rsid w:val="00B35EB6"/>
    <w:rsid w:val="00B369F7"/>
    <w:rsid w:val="00B3715C"/>
    <w:rsid w:val="00B37326"/>
    <w:rsid w:val="00B40A91"/>
    <w:rsid w:val="00B40B46"/>
    <w:rsid w:val="00B41E8B"/>
    <w:rsid w:val="00B42ABF"/>
    <w:rsid w:val="00B440E0"/>
    <w:rsid w:val="00B44342"/>
    <w:rsid w:val="00B45CDA"/>
    <w:rsid w:val="00B4602C"/>
    <w:rsid w:val="00B46685"/>
    <w:rsid w:val="00B46B45"/>
    <w:rsid w:val="00B471B0"/>
    <w:rsid w:val="00B4738F"/>
    <w:rsid w:val="00B4790F"/>
    <w:rsid w:val="00B50295"/>
    <w:rsid w:val="00B505D1"/>
    <w:rsid w:val="00B510D6"/>
    <w:rsid w:val="00B516A3"/>
    <w:rsid w:val="00B51772"/>
    <w:rsid w:val="00B51866"/>
    <w:rsid w:val="00B530F1"/>
    <w:rsid w:val="00B5359E"/>
    <w:rsid w:val="00B535D5"/>
    <w:rsid w:val="00B537F9"/>
    <w:rsid w:val="00B53DE3"/>
    <w:rsid w:val="00B54A8D"/>
    <w:rsid w:val="00B54E22"/>
    <w:rsid w:val="00B54EED"/>
    <w:rsid w:val="00B55BEC"/>
    <w:rsid w:val="00B566EE"/>
    <w:rsid w:val="00B56B97"/>
    <w:rsid w:val="00B56D41"/>
    <w:rsid w:val="00B577ED"/>
    <w:rsid w:val="00B57BDC"/>
    <w:rsid w:val="00B61166"/>
    <w:rsid w:val="00B61B0B"/>
    <w:rsid w:val="00B61F13"/>
    <w:rsid w:val="00B62093"/>
    <w:rsid w:val="00B6285D"/>
    <w:rsid w:val="00B62D6C"/>
    <w:rsid w:val="00B62DCB"/>
    <w:rsid w:val="00B630FB"/>
    <w:rsid w:val="00B65184"/>
    <w:rsid w:val="00B66889"/>
    <w:rsid w:val="00B670C0"/>
    <w:rsid w:val="00B678C8"/>
    <w:rsid w:val="00B67961"/>
    <w:rsid w:val="00B67E66"/>
    <w:rsid w:val="00B70707"/>
    <w:rsid w:val="00B71F95"/>
    <w:rsid w:val="00B73B34"/>
    <w:rsid w:val="00B74223"/>
    <w:rsid w:val="00B74763"/>
    <w:rsid w:val="00B752D4"/>
    <w:rsid w:val="00B7635D"/>
    <w:rsid w:val="00B77095"/>
    <w:rsid w:val="00B81A74"/>
    <w:rsid w:val="00B81AC4"/>
    <w:rsid w:val="00B8330F"/>
    <w:rsid w:val="00B83834"/>
    <w:rsid w:val="00B8388E"/>
    <w:rsid w:val="00B85393"/>
    <w:rsid w:val="00B85555"/>
    <w:rsid w:val="00B85598"/>
    <w:rsid w:val="00B85A57"/>
    <w:rsid w:val="00B86F0B"/>
    <w:rsid w:val="00B877F3"/>
    <w:rsid w:val="00B90CAE"/>
    <w:rsid w:val="00B911BD"/>
    <w:rsid w:val="00B914F1"/>
    <w:rsid w:val="00B91863"/>
    <w:rsid w:val="00B91B85"/>
    <w:rsid w:val="00B931A3"/>
    <w:rsid w:val="00B9334B"/>
    <w:rsid w:val="00B938F0"/>
    <w:rsid w:val="00B93A0B"/>
    <w:rsid w:val="00B94774"/>
    <w:rsid w:val="00B95310"/>
    <w:rsid w:val="00B95B2F"/>
    <w:rsid w:val="00B95C00"/>
    <w:rsid w:val="00B96339"/>
    <w:rsid w:val="00B96441"/>
    <w:rsid w:val="00B96D96"/>
    <w:rsid w:val="00B973F4"/>
    <w:rsid w:val="00BA08C7"/>
    <w:rsid w:val="00BA1102"/>
    <w:rsid w:val="00BA121D"/>
    <w:rsid w:val="00BA1811"/>
    <w:rsid w:val="00BA1A1E"/>
    <w:rsid w:val="00BA266F"/>
    <w:rsid w:val="00BA2FB0"/>
    <w:rsid w:val="00BA3FB1"/>
    <w:rsid w:val="00BA46CF"/>
    <w:rsid w:val="00BA4C24"/>
    <w:rsid w:val="00BA51EB"/>
    <w:rsid w:val="00BA628E"/>
    <w:rsid w:val="00BA68B2"/>
    <w:rsid w:val="00BA746D"/>
    <w:rsid w:val="00BA7FD5"/>
    <w:rsid w:val="00BB3301"/>
    <w:rsid w:val="00BB4934"/>
    <w:rsid w:val="00BB50B6"/>
    <w:rsid w:val="00BB50BF"/>
    <w:rsid w:val="00BB51B5"/>
    <w:rsid w:val="00BB6255"/>
    <w:rsid w:val="00BB69E1"/>
    <w:rsid w:val="00BB7ABA"/>
    <w:rsid w:val="00BB7B9A"/>
    <w:rsid w:val="00BB7C57"/>
    <w:rsid w:val="00BC021C"/>
    <w:rsid w:val="00BC04AB"/>
    <w:rsid w:val="00BC0E84"/>
    <w:rsid w:val="00BC0FC0"/>
    <w:rsid w:val="00BC2056"/>
    <w:rsid w:val="00BC3057"/>
    <w:rsid w:val="00BC4935"/>
    <w:rsid w:val="00BC5512"/>
    <w:rsid w:val="00BC618F"/>
    <w:rsid w:val="00BC6AE4"/>
    <w:rsid w:val="00BC6D56"/>
    <w:rsid w:val="00BC7002"/>
    <w:rsid w:val="00BC7359"/>
    <w:rsid w:val="00BC75B1"/>
    <w:rsid w:val="00BC7697"/>
    <w:rsid w:val="00BC7ECE"/>
    <w:rsid w:val="00BD06D9"/>
    <w:rsid w:val="00BD076F"/>
    <w:rsid w:val="00BD0FC0"/>
    <w:rsid w:val="00BD2761"/>
    <w:rsid w:val="00BD3298"/>
    <w:rsid w:val="00BD37A0"/>
    <w:rsid w:val="00BD43F6"/>
    <w:rsid w:val="00BD5A35"/>
    <w:rsid w:val="00BD5D96"/>
    <w:rsid w:val="00BD75FF"/>
    <w:rsid w:val="00BD7B41"/>
    <w:rsid w:val="00BD7B5F"/>
    <w:rsid w:val="00BE05AC"/>
    <w:rsid w:val="00BE0B1C"/>
    <w:rsid w:val="00BE1ED9"/>
    <w:rsid w:val="00BE1F58"/>
    <w:rsid w:val="00BE33F6"/>
    <w:rsid w:val="00BE3A94"/>
    <w:rsid w:val="00BE54C2"/>
    <w:rsid w:val="00BE6A00"/>
    <w:rsid w:val="00BF01D8"/>
    <w:rsid w:val="00BF0BB9"/>
    <w:rsid w:val="00BF0D78"/>
    <w:rsid w:val="00BF1E20"/>
    <w:rsid w:val="00BF1EAE"/>
    <w:rsid w:val="00BF2091"/>
    <w:rsid w:val="00BF2377"/>
    <w:rsid w:val="00BF25C7"/>
    <w:rsid w:val="00BF40B7"/>
    <w:rsid w:val="00BF4642"/>
    <w:rsid w:val="00BF4975"/>
    <w:rsid w:val="00BF507E"/>
    <w:rsid w:val="00BF5254"/>
    <w:rsid w:val="00BF5841"/>
    <w:rsid w:val="00BF6234"/>
    <w:rsid w:val="00BF6365"/>
    <w:rsid w:val="00C00029"/>
    <w:rsid w:val="00C013B3"/>
    <w:rsid w:val="00C02BC1"/>
    <w:rsid w:val="00C0302A"/>
    <w:rsid w:val="00C04772"/>
    <w:rsid w:val="00C05CB9"/>
    <w:rsid w:val="00C05D80"/>
    <w:rsid w:val="00C05EE2"/>
    <w:rsid w:val="00C069A2"/>
    <w:rsid w:val="00C06ADA"/>
    <w:rsid w:val="00C075D8"/>
    <w:rsid w:val="00C07990"/>
    <w:rsid w:val="00C07D97"/>
    <w:rsid w:val="00C10205"/>
    <w:rsid w:val="00C1062E"/>
    <w:rsid w:val="00C10B5D"/>
    <w:rsid w:val="00C10C10"/>
    <w:rsid w:val="00C11044"/>
    <w:rsid w:val="00C11240"/>
    <w:rsid w:val="00C116AC"/>
    <w:rsid w:val="00C11FAB"/>
    <w:rsid w:val="00C13493"/>
    <w:rsid w:val="00C143E6"/>
    <w:rsid w:val="00C1586E"/>
    <w:rsid w:val="00C16627"/>
    <w:rsid w:val="00C17510"/>
    <w:rsid w:val="00C201F5"/>
    <w:rsid w:val="00C20746"/>
    <w:rsid w:val="00C21447"/>
    <w:rsid w:val="00C2223D"/>
    <w:rsid w:val="00C22576"/>
    <w:rsid w:val="00C22D0F"/>
    <w:rsid w:val="00C22DED"/>
    <w:rsid w:val="00C22F52"/>
    <w:rsid w:val="00C23808"/>
    <w:rsid w:val="00C23EC9"/>
    <w:rsid w:val="00C23F7E"/>
    <w:rsid w:val="00C24776"/>
    <w:rsid w:val="00C25030"/>
    <w:rsid w:val="00C25AB6"/>
    <w:rsid w:val="00C25B50"/>
    <w:rsid w:val="00C25F32"/>
    <w:rsid w:val="00C261B4"/>
    <w:rsid w:val="00C2670A"/>
    <w:rsid w:val="00C30361"/>
    <w:rsid w:val="00C307E5"/>
    <w:rsid w:val="00C3110B"/>
    <w:rsid w:val="00C32050"/>
    <w:rsid w:val="00C322C8"/>
    <w:rsid w:val="00C32324"/>
    <w:rsid w:val="00C33A58"/>
    <w:rsid w:val="00C33C55"/>
    <w:rsid w:val="00C34897"/>
    <w:rsid w:val="00C34D34"/>
    <w:rsid w:val="00C35369"/>
    <w:rsid w:val="00C36854"/>
    <w:rsid w:val="00C37EA1"/>
    <w:rsid w:val="00C40552"/>
    <w:rsid w:val="00C41598"/>
    <w:rsid w:val="00C41A35"/>
    <w:rsid w:val="00C4212E"/>
    <w:rsid w:val="00C42AD4"/>
    <w:rsid w:val="00C42B24"/>
    <w:rsid w:val="00C4375D"/>
    <w:rsid w:val="00C448F7"/>
    <w:rsid w:val="00C449CC"/>
    <w:rsid w:val="00C45D07"/>
    <w:rsid w:val="00C45ECC"/>
    <w:rsid w:val="00C4601A"/>
    <w:rsid w:val="00C470C8"/>
    <w:rsid w:val="00C47962"/>
    <w:rsid w:val="00C5061A"/>
    <w:rsid w:val="00C50D84"/>
    <w:rsid w:val="00C50E53"/>
    <w:rsid w:val="00C52469"/>
    <w:rsid w:val="00C528AC"/>
    <w:rsid w:val="00C52EF9"/>
    <w:rsid w:val="00C54150"/>
    <w:rsid w:val="00C54279"/>
    <w:rsid w:val="00C54376"/>
    <w:rsid w:val="00C54C77"/>
    <w:rsid w:val="00C54F69"/>
    <w:rsid w:val="00C55211"/>
    <w:rsid w:val="00C553FA"/>
    <w:rsid w:val="00C554BD"/>
    <w:rsid w:val="00C56576"/>
    <w:rsid w:val="00C565B9"/>
    <w:rsid w:val="00C57555"/>
    <w:rsid w:val="00C57E4A"/>
    <w:rsid w:val="00C60618"/>
    <w:rsid w:val="00C6096D"/>
    <w:rsid w:val="00C60ED8"/>
    <w:rsid w:val="00C6282B"/>
    <w:rsid w:val="00C659F2"/>
    <w:rsid w:val="00C666BA"/>
    <w:rsid w:val="00C66FC1"/>
    <w:rsid w:val="00C66FE9"/>
    <w:rsid w:val="00C67755"/>
    <w:rsid w:val="00C67C1E"/>
    <w:rsid w:val="00C712DF"/>
    <w:rsid w:val="00C71672"/>
    <w:rsid w:val="00C727BD"/>
    <w:rsid w:val="00C72A30"/>
    <w:rsid w:val="00C72C6B"/>
    <w:rsid w:val="00C72C7E"/>
    <w:rsid w:val="00C72F12"/>
    <w:rsid w:val="00C730FF"/>
    <w:rsid w:val="00C7417D"/>
    <w:rsid w:val="00C744C3"/>
    <w:rsid w:val="00C74690"/>
    <w:rsid w:val="00C74860"/>
    <w:rsid w:val="00C74DD2"/>
    <w:rsid w:val="00C75F47"/>
    <w:rsid w:val="00C7651E"/>
    <w:rsid w:val="00C768E9"/>
    <w:rsid w:val="00C76BDD"/>
    <w:rsid w:val="00C81403"/>
    <w:rsid w:val="00C84998"/>
    <w:rsid w:val="00C85635"/>
    <w:rsid w:val="00C85C9D"/>
    <w:rsid w:val="00C85CA1"/>
    <w:rsid w:val="00C85E21"/>
    <w:rsid w:val="00C86FD7"/>
    <w:rsid w:val="00C87A74"/>
    <w:rsid w:val="00C87A94"/>
    <w:rsid w:val="00C87E77"/>
    <w:rsid w:val="00C87FA0"/>
    <w:rsid w:val="00C90F54"/>
    <w:rsid w:val="00C92454"/>
    <w:rsid w:val="00C926E2"/>
    <w:rsid w:val="00C92A6D"/>
    <w:rsid w:val="00C92A74"/>
    <w:rsid w:val="00C93A83"/>
    <w:rsid w:val="00C94601"/>
    <w:rsid w:val="00C94EB3"/>
    <w:rsid w:val="00C95342"/>
    <w:rsid w:val="00C95D06"/>
    <w:rsid w:val="00C96BBB"/>
    <w:rsid w:val="00C979AE"/>
    <w:rsid w:val="00CA0752"/>
    <w:rsid w:val="00CA07B5"/>
    <w:rsid w:val="00CA08B1"/>
    <w:rsid w:val="00CA172C"/>
    <w:rsid w:val="00CA2C74"/>
    <w:rsid w:val="00CA2CCE"/>
    <w:rsid w:val="00CA3096"/>
    <w:rsid w:val="00CA3719"/>
    <w:rsid w:val="00CA399E"/>
    <w:rsid w:val="00CA3F4A"/>
    <w:rsid w:val="00CA3FAE"/>
    <w:rsid w:val="00CA5352"/>
    <w:rsid w:val="00CA54B0"/>
    <w:rsid w:val="00CA5CE0"/>
    <w:rsid w:val="00CB03BE"/>
    <w:rsid w:val="00CB0F48"/>
    <w:rsid w:val="00CB25D3"/>
    <w:rsid w:val="00CB44BF"/>
    <w:rsid w:val="00CB5FF8"/>
    <w:rsid w:val="00CB6AFA"/>
    <w:rsid w:val="00CB6B4C"/>
    <w:rsid w:val="00CC1293"/>
    <w:rsid w:val="00CC22F2"/>
    <w:rsid w:val="00CC2A1A"/>
    <w:rsid w:val="00CC34B3"/>
    <w:rsid w:val="00CC36E0"/>
    <w:rsid w:val="00CC459B"/>
    <w:rsid w:val="00CC49FA"/>
    <w:rsid w:val="00CC5B2A"/>
    <w:rsid w:val="00CC61DB"/>
    <w:rsid w:val="00CC6C2D"/>
    <w:rsid w:val="00CC7B39"/>
    <w:rsid w:val="00CD070E"/>
    <w:rsid w:val="00CD10E5"/>
    <w:rsid w:val="00CD153C"/>
    <w:rsid w:val="00CD25DF"/>
    <w:rsid w:val="00CD288C"/>
    <w:rsid w:val="00CD48D1"/>
    <w:rsid w:val="00CD4A21"/>
    <w:rsid w:val="00CD5606"/>
    <w:rsid w:val="00CD5A60"/>
    <w:rsid w:val="00CD64A9"/>
    <w:rsid w:val="00CD65EF"/>
    <w:rsid w:val="00CD7339"/>
    <w:rsid w:val="00CE1B18"/>
    <w:rsid w:val="00CE1D97"/>
    <w:rsid w:val="00CE1F63"/>
    <w:rsid w:val="00CE311A"/>
    <w:rsid w:val="00CE4229"/>
    <w:rsid w:val="00CE4998"/>
    <w:rsid w:val="00CE4F3D"/>
    <w:rsid w:val="00CE62B6"/>
    <w:rsid w:val="00CE70C3"/>
    <w:rsid w:val="00CE72CF"/>
    <w:rsid w:val="00CF1A97"/>
    <w:rsid w:val="00CF1DBC"/>
    <w:rsid w:val="00CF22BC"/>
    <w:rsid w:val="00CF3735"/>
    <w:rsid w:val="00CF4F30"/>
    <w:rsid w:val="00CF57B9"/>
    <w:rsid w:val="00CF5BC9"/>
    <w:rsid w:val="00CF6104"/>
    <w:rsid w:val="00CF71F4"/>
    <w:rsid w:val="00CF7832"/>
    <w:rsid w:val="00CF788E"/>
    <w:rsid w:val="00D00AC8"/>
    <w:rsid w:val="00D00F4E"/>
    <w:rsid w:val="00D011BA"/>
    <w:rsid w:val="00D01258"/>
    <w:rsid w:val="00D0193A"/>
    <w:rsid w:val="00D023C2"/>
    <w:rsid w:val="00D0335B"/>
    <w:rsid w:val="00D0447B"/>
    <w:rsid w:val="00D05334"/>
    <w:rsid w:val="00D056A3"/>
    <w:rsid w:val="00D05FDE"/>
    <w:rsid w:val="00D0796A"/>
    <w:rsid w:val="00D10006"/>
    <w:rsid w:val="00D1029A"/>
    <w:rsid w:val="00D11514"/>
    <w:rsid w:val="00D1160A"/>
    <w:rsid w:val="00D12A46"/>
    <w:rsid w:val="00D13415"/>
    <w:rsid w:val="00D13703"/>
    <w:rsid w:val="00D139B4"/>
    <w:rsid w:val="00D13B15"/>
    <w:rsid w:val="00D13C31"/>
    <w:rsid w:val="00D13D40"/>
    <w:rsid w:val="00D14077"/>
    <w:rsid w:val="00D14AD7"/>
    <w:rsid w:val="00D1685A"/>
    <w:rsid w:val="00D1798D"/>
    <w:rsid w:val="00D17C0F"/>
    <w:rsid w:val="00D205B3"/>
    <w:rsid w:val="00D21AF3"/>
    <w:rsid w:val="00D225E6"/>
    <w:rsid w:val="00D2262A"/>
    <w:rsid w:val="00D2265D"/>
    <w:rsid w:val="00D234BB"/>
    <w:rsid w:val="00D23B0A"/>
    <w:rsid w:val="00D23FAD"/>
    <w:rsid w:val="00D25942"/>
    <w:rsid w:val="00D26D8C"/>
    <w:rsid w:val="00D31189"/>
    <w:rsid w:val="00D31C64"/>
    <w:rsid w:val="00D32679"/>
    <w:rsid w:val="00D328C5"/>
    <w:rsid w:val="00D34761"/>
    <w:rsid w:val="00D3529B"/>
    <w:rsid w:val="00D352FF"/>
    <w:rsid w:val="00D36704"/>
    <w:rsid w:val="00D36B84"/>
    <w:rsid w:val="00D3702D"/>
    <w:rsid w:val="00D401F3"/>
    <w:rsid w:val="00D4067C"/>
    <w:rsid w:val="00D411B4"/>
    <w:rsid w:val="00D41EBA"/>
    <w:rsid w:val="00D430D3"/>
    <w:rsid w:val="00D433B2"/>
    <w:rsid w:val="00D43E82"/>
    <w:rsid w:val="00D44430"/>
    <w:rsid w:val="00D44E7F"/>
    <w:rsid w:val="00D45786"/>
    <w:rsid w:val="00D46A96"/>
    <w:rsid w:val="00D46B3C"/>
    <w:rsid w:val="00D47798"/>
    <w:rsid w:val="00D479AE"/>
    <w:rsid w:val="00D47C31"/>
    <w:rsid w:val="00D50D3A"/>
    <w:rsid w:val="00D50F96"/>
    <w:rsid w:val="00D51DAA"/>
    <w:rsid w:val="00D52677"/>
    <w:rsid w:val="00D534D7"/>
    <w:rsid w:val="00D5585D"/>
    <w:rsid w:val="00D5634F"/>
    <w:rsid w:val="00D605AD"/>
    <w:rsid w:val="00D60608"/>
    <w:rsid w:val="00D620C7"/>
    <w:rsid w:val="00D627F7"/>
    <w:rsid w:val="00D628AA"/>
    <w:rsid w:val="00D637BB"/>
    <w:rsid w:val="00D674E0"/>
    <w:rsid w:val="00D67DCC"/>
    <w:rsid w:val="00D70903"/>
    <w:rsid w:val="00D709E7"/>
    <w:rsid w:val="00D70DA7"/>
    <w:rsid w:val="00D71399"/>
    <w:rsid w:val="00D71564"/>
    <w:rsid w:val="00D7187E"/>
    <w:rsid w:val="00D71CFE"/>
    <w:rsid w:val="00D7277E"/>
    <w:rsid w:val="00D7499D"/>
    <w:rsid w:val="00D75C52"/>
    <w:rsid w:val="00D75DE7"/>
    <w:rsid w:val="00D764F2"/>
    <w:rsid w:val="00D76E37"/>
    <w:rsid w:val="00D76E41"/>
    <w:rsid w:val="00D770E4"/>
    <w:rsid w:val="00D77AD1"/>
    <w:rsid w:val="00D807EB"/>
    <w:rsid w:val="00D80A94"/>
    <w:rsid w:val="00D80B3E"/>
    <w:rsid w:val="00D81496"/>
    <w:rsid w:val="00D820CD"/>
    <w:rsid w:val="00D82226"/>
    <w:rsid w:val="00D8248C"/>
    <w:rsid w:val="00D835A7"/>
    <w:rsid w:val="00D846BA"/>
    <w:rsid w:val="00D86C96"/>
    <w:rsid w:val="00D87394"/>
    <w:rsid w:val="00D87726"/>
    <w:rsid w:val="00D87CA8"/>
    <w:rsid w:val="00D87D4D"/>
    <w:rsid w:val="00D9021E"/>
    <w:rsid w:val="00D90673"/>
    <w:rsid w:val="00D91140"/>
    <w:rsid w:val="00D92A27"/>
    <w:rsid w:val="00D92AE1"/>
    <w:rsid w:val="00D92FAD"/>
    <w:rsid w:val="00D93589"/>
    <w:rsid w:val="00D939F3"/>
    <w:rsid w:val="00D93B59"/>
    <w:rsid w:val="00D941C1"/>
    <w:rsid w:val="00D947C5"/>
    <w:rsid w:val="00D9485D"/>
    <w:rsid w:val="00D95155"/>
    <w:rsid w:val="00D955A1"/>
    <w:rsid w:val="00D96FFA"/>
    <w:rsid w:val="00D97378"/>
    <w:rsid w:val="00D97910"/>
    <w:rsid w:val="00DA1A08"/>
    <w:rsid w:val="00DA48D6"/>
    <w:rsid w:val="00DA550C"/>
    <w:rsid w:val="00DA7116"/>
    <w:rsid w:val="00DA7171"/>
    <w:rsid w:val="00DA72F7"/>
    <w:rsid w:val="00DA740E"/>
    <w:rsid w:val="00DA7652"/>
    <w:rsid w:val="00DA7BB3"/>
    <w:rsid w:val="00DA7F6D"/>
    <w:rsid w:val="00DB0ABB"/>
    <w:rsid w:val="00DB11A3"/>
    <w:rsid w:val="00DB1401"/>
    <w:rsid w:val="00DB14E4"/>
    <w:rsid w:val="00DB1E46"/>
    <w:rsid w:val="00DB2729"/>
    <w:rsid w:val="00DB2952"/>
    <w:rsid w:val="00DB31C7"/>
    <w:rsid w:val="00DB516A"/>
    <w:rsid w:val="00DB5C4A"/>
    <w:rsid w:val="00DB5C78"/>
    <w:rsid w:val="00DB5E8B"/>
    <w:rsid w:val="00DB682A"/>
    <w:rsid w:val="00DC085A"/>
    <w:rsid w:val="00DC0D68"/>
    <w:rsid w:val="00DC1D96"/>
    <w:rsid w:val="00DC1E53"/>
    <w:rsid w:val="00DC2A77"/>
    <w:rsid w:val="00DC2E58"/>
    <w:rsid w:val="00DC3B12"/>
    <w:rsid w:val="00DC3D93"/>
    <w:rsid w:val="00DC3D95"/>
    <w:rsid w:val="00DC3FCC"/>
    <w:rsid w:val="00DC47B4"/>
    <w:rsid w:val="00DC49E5"/>
    <w:rsid w:val="00DC5A2C"/>
    <w:rsid w:val="00DC5E6D"/>
    <w:rsid w:val="00DC6BC4"/>
    <w:rsid w:val="00DC6D50"/>
    <w:rsid w:val="00DC6D7C"/>
    <w:rsid w:val="00DC6F14"/>
    <w:rsid w:val="00DC73D6"/>
    <w:rsid w:val="00DC7461"/>
    <w:rsid w:val="00DC794D"/>
    <w:rsid w:val="00DC79CC"/>
    <w:rsid w:val="00DD05EA"/>
    <w:rsid w:val="00DD0A10"/>
    <w:rsid w:val="00DD1FF9"/>
    <w:rsid w:val="00DD301F"/>
    <w:rsid w:val="00DD32CE"/>
    <w:rsid w:val="00DD343B"/>
    <w:rsid w:val="00DD46EA"/>
    <w:rsid w:val="00DD4703"/>
    <w:rsid w:val="00DD4CF4"/>
    <w:rsid w:val="00DD557D"/>
    <w:rsid w:val="00DD6D5A"/>
    <w:rsid w:val="00DD71C1"/>
    <w:rsid w:val="00DD7746"/>
    <w:rsid w:val="00DE090E"/>
    <w:rsid w:val="00DE14EB"/>
    <w:rsid w:val="00DE1696"/>
    <w:rsid w:val="00DE1721"/>
    <w:rsid w:val="00DE1FB0"/>
    <w:rsid w:val="00DE36CD"/>
    <w:rsid w:val="00DE37B1"/>
    <w:rsid w:val="00DE3CB9"/>
    <w:rsid w:val="00DE4684"/>
    <w:rsid w:val="00DE5480"/>
    <w:rsid w:val="00DE56BB"/>
    <w:rsid w:val="00DE5EBB"/>
    <w:rsid w:val="00DE6BB4"/>
    <w:rsid w:val="00DE72E2"/>
    <w:rsid w:val="00DE7DA7"/>
    <w:rsid w:val="00DF1B84"/>
    <w:rsid w:val="00DF2A71"/>
    <w:rsid w:val="00DF36C1"/>
    <w:rsid w:val="00DF3B12"/>
    <w:rsid w:val="00DF3B73"/>
    <w:rsid w:val="00DF3C8E"/>
    <w:rsid w:val="00DF407C"/>
    <w:rsid w:val="00DF45A8"/>
    <w:rsid w:val="00DF466F"/>
    <w:rsid w:val="00DF4D5C"/>
    <w:rsid w:val="00DF562B"/>
    <w:rsid w:val="00DF5876"/>
    <w:rsid w:val="00DF5E7B"/>
    <w:rsid w:val="00DF7518"/>
    <w:rsid w:val="00DF755E"/>
    <w:rsid w:val="00DF7F99"/>
    <w:rsid w:val="00E00900"/>
    <w:rsid w:val="00E012BF"/>
    <w:rsid w:val="00E01400"/>
    <w:rsid w:val="00E01966"/>
    <w:rsid w:val="00E0210C"/>
    <w:rsid w:val="00E02511"/>
    <w:rsid w:val="00E028EC"/>
    <w:rsid w:val="00E03177"/>
    <w:rsid w:val="00E03628"/>
    <w:rsid w:val="00E03891"/>
    <w:rsid w:val="00E045DB"/>
    <w:rsid w:val="00E04846"/>
    <w:rsid w:val="00E04B1B"/>
    <w:rsid w:val="00E05331"/>
    <w:rsid w:val="00E053B9"/>
    <w:rsid w:val="00E05905"/>
    <w:rsid w:val="00E059DC"/>
    <w:rsid w:val="00E05B95"/>
    <w:rsid w:val="00E065E7"/>
    <w:rsid w:val="00E06F78"/>
    <w:rsid w:val="00E10E39"/>
    <w:rsid w:val="00E12FEC"/>
    <w:rsid w:val="00E13B76"/>
    <w:rsid w:val="00E13F52"/>
    <w:rsid w:val="00E1471C"/>
    <w:rsid w:val="00E14F31"/>
    <w:rsid w:val="00E15359"/>
    <w:rsid w:val="00E156CA"/>
    <w:rsid w:val="00E158F8"/>
    <w:rsid w:val="00E1696C"/>
    <w:rsid w:val="00E17131"/>
    <w:rsid w:val="00E173A6"/>
    <w:rsid w:val="00E173AA"/>
    <w:rsid w:val="00E17726"/>
    <w:rsid w:val="00E204E2"/>
    <w:rsid w:val="00E21855"/>
    <w:rsid w:val="00E21B03"/>
    <w:rsid w:val="00E227FA"/>
    <w:rsid w:val="00E25D03"/>
    <w:rsid w:val="00E26484"/>
    <w:rsid w:val="00E267A5"/>
    <w:rsid w:val="00E316D7"/>
    <w:rsid w:val="00E32306"/>
    <w:rsid w:val="00E3580F"/>
    <w:rsid w:val="00E3610C"/>
    <w:rsid w:val="00E36583"/>
    <w:rsid w:val="00E367A2"/>
    <w:rsid w:val="00E3701E"/>
    <w:rsid w:val="00E373DC"/>
    <w:rsid w:val="00E3795D"/>
    <w:rsid w:val="00E37C45"/>
    <w:rsid w:val="00E4016B"/>
    <w:rsid w:val="00E41864"/>
    <w:rsid w:val="00E41892"/>
    <w:rsid w:val="00E41BA9"/>
    <w:rsid w:val="00E41D3D"/>
    <w:rsid w:val="00E42A4E"/>
    <w:rsid w:val="00E42E1B"/>
    <w:rsid w:val="00E43CBC"/>
    <w:rsid w:val="00E43F22"/>
    <w:rsid w:val="00E452B8"/>
    <w:rsid w:val="00E47014"/>
    <w:rsid w:val="00E5046E"/>
    <w:rsid w:val="00E504BD"/>
    <w:rsid w:val="00E50B5C"/>
    <w:rsid w:val="00E50E1E"/>
    <w:rsid w:val="00E51727"/>
    <w:rsid w:val="00E517F1"/>
    <w:rsid w:val="00E52167"/>
    <w:rsid w:val="00E52389"/>
    <w:rsid w:val="00E524DE"/>
    <w:rsid w:val="00E5306B"/>
    <w:rsid w:val="00E5314F"/>
    <w:rsid w:val="00E534D6"/>
    <w:rsid w:val="00E53C91"/>
    <w:rsid w:val="00E54212"/>
    <w:rsid w:val="00E548ED"/>
    <w:rsid w:val="00E54A0F"/>
    <w:rsid w:val="00E554CE"/>
    <w:rsid w:val="00E60209"/>
    <w:rsid w:val="00E611EB"/>
    <w:rsid w:val="00E61CC9"/>
    <w:rsid w:val="00E622F4"/>
    <w:rsid w:val="00E62860"/>
    <w:rsid w:val="00E63098"/>
    <w:rsid w:val="00E63E7A"/>
    <w:rsid w:val="00E651D1"/>
    <w:rsid w:val="00E6520F"/>
    <w:rsid w:val="00E6526B"/>
    <w:rsid w:val="00E65556"/>
    <w:rsid w:val="00E65634"/>
    <w:rsid w:val="00E65827"/>
    <w:rsid w:val="00E6589C"/>
    <w:rsid w:val="00E66249"/>
    <w:rsid w:val="00E663E1"/>
    <w:rsid w:val="00E674DB"/>
    <w:rsid w:val="00E702DB"/>
    <w:rsid w:val="00E70A55"/>
    <w:rsid w:val="00E71440"/>
    <w:rsid w:val="00E71D05"/>
    <w:rsid w:val="00E72C1C"/>
    <w:rsid w:val="00E73D93"/>
    <w:rsid w:val="00E74183"/>
    <w:rsid w:val="00E755C0"/>
    <w:rsid w:val="00E76916"/>
    <w:rsid w:val="00E76DC6"/>
    <w:rsid w:val="00E770F7"/>
    <w:rsid w:val="00E80D70"/>
    <w:rsid w:val="00E823BF"/>
    <w:rsid w:val="00E826E2"/>
    <w:rsid w:val="00E831D2"/>
    <w:rsid w:val="00E838D5"/>
    <w:rsid w:val="00E83A44"/>
    <w:rsid w:val="00E846A6"/>
    <w:rsid w:val="00E846DF"/>
    <w:rsid w:val="00E84788"/>
    <w:rsid w:val="00E852D2"/>
    <w:rsid w:val="00E859BE"/>
    <w:rsid w:val="00E859DD"/>
    <w:rsid w:val="00E862C3"/>
    <w:rsid w:val="00E86C41"/>
    <w:rsid w:val="00E86E02"/>
    <w:rsid w:val="00E8702E"/>
    <w:rsid w:val="00E87E3C"/>
    <w:rsid w:val="00E90815"/>
    <w:rsid w:val="00E90B84"/>
    <w:rsid w:val="00E90CB2"/>
    <w:rsid w:val="00E916FB"/>
    <w:rsid w:val="00E91780"/>
    <w:rsid w:val="00E91EE5"/>
    <w:rsid w:val="00E93FC3"/>
    <w:rsid w:val="00E94344"/>
    <w:rsid w:val="00E95541"/>
    <w:rsid w:val="00E95682"/>
    <w:rsid w:val="00E95B59"/>
    <w:rsid w:val="00E95E33"/>
    <w:rsid w:val="00E9656C"/>
    <w:rsid w:val="00E9714E"/>
    <w:rsid w:val="00E975B3"/>
    <w:rsid w:val="00E97DB1"/>
    <w:rsid w:val="00EA043C"/>
    <w:rsid w:val="00EA0EC1"/>
    <w:rsid w:val="00EA16D9"/>
    <w:rsid w:val="00EA1B26"/>
    <w:rsid w:val="00EA2F00"/>
    <w:rsid w:val="00EA39E0"/>
    <w:rsid w:val="00EA440F"/>
    <w:rsid w:val="00EA52C8"/>
    <w:rsid w:val="00EA5AF1"/>
    <w:rsid w:val="00EB05DF"/>
    <w:rsid w:val="00EB0B2A"/>
    <w:rsid w:val="00EB130F"/>
    <w:rsid w:val="00EB16B5"/>
    <w:rsid w:val="00EB1C29"/>
    <w:rsid w:val="00EB1FCD"/>
    <w:rsid w:val="00EB3D61"/>
    <w:rsid w:val="00EB4BED"/>
    <w:rsid w:val="00EB4FFD"/>
    <w:rsid w:val="00EB5B64"/>
    <w:rsid w:val="00EB6481"/>
    <w:rsid w:val="00EB6CD7"/>
    <w:rsid w:val="00EB712F"/>
    <w:rsid w:val="00EB7338"/>
    <w:rsid w:val="00EB76DE"/>
    <w:rsid w:val="00EC0654"/>
    <w:rsid w:val="00EC0C68"/>
    <w:rsid w:val="00EC0FCB"/>
    <w:rsid w:val="00EC142F"/>
    <w:rsid w:val="00EC1985"/>
    <w:rsid w:val="00EC1C57"/>
    <w:rsid w:val="00EC2FD8"/>
    <w:rsid w:val="00EC3242"/>
    <w:rsid w:val="00EC3DDB"/>
    <w:rsid w:val="00EC3ED1"/>
    <w:rsid w:val="00EC5D78"/>
    <w:rsid w:val="00EC5DFB"/>
    <w:rsid w:val="00EC6902"/>
    <w:rsid w:val="00EC6BD9"/>
    <w:rsid w:val="00EC713A"/>
    <w:rsid w:val="00EC7720"/>
    <w:rsid w:val="00EC77AA"/>
    <w:rsid w:val="00EC7DEC"/>
    <w:rsid w:val="00ED0586"/>
    <w:rsid w:val="00ED14AD"/>
    <w:rsid w:val="00ED16FB"/>
    <w:rsid w:val="00ED1963"/>
    <w:rsid w:val="00ED1B11"/>
    <w:rsid w:val="00ED1F97"/>
    <w:rsid w:val="00ED2C1A"/>
    <w:rsid w:val="00ED4A8C"/>
    <w:rsid w:val="00ED6917"/>
    <w:rsid w:val="00ED752C"/>
    <w:rsid w:val="00ED7862"/>
    <w:rsid w:val="00ED787D"/>
    <w:rsid w:val="00ED7DDB"/>
    <w:rsid w:val="00EE0047"/>
    <w:rsid w:val="00EE03BB"/>
    <w:rsid w:val="00EE0B1F"/>
    <w:rsid w:val="00EE1A2A"/>
    <w:rsid w:val="00EE20E8"/>
    <w:rsid w:val="00EE22EB"/>
    <w:rsid w:val="00EE2F72"/>
    <w:rsid w:val="00EE3984"/>
    <w:rsid w:val="00EE3B62"/>
    <w:rsid w:val="00EE4221"/>
    <w:rsid w:val="00EE4C2D"/>
    <w:rsid w:val="00EE4E21"/>
    <w:rsid w:val="00EE4EF3"/>
    <w:rsid w:val="00EE5400"/>
    <w:rsid w:val="00EE55E3"/>
    <w:rsid w:val="00EE5C00"/>
    <w:rsid w:val="00EE5CA1"/>
    <w:rsid w:val="00EE7EF6"/>
    <w:rsid w:val="00EF0366"/>
    <w:rsid w:val="00EF0968"/>
    <w:rsid w:val="00EF19C9"/>
    <w:rsid w:val="00EF1F3E"/>
    <w:rsid w:val="00EF2BF3"/>
    <w:rsid w:val="00EF3068"/>
    <w:rsid w:val="00EF3646"/>
    <w:rsid w:val="00EF3EE0"/>
    <w:rsid w:val="00EF4056"/>
    <w:rsid w:val="00EF43FB"/>
    <w:rsid w:val="00EF483F"/>
    <w:rsid w:val="00EF4DAB"/>
    <w:rsid w:val="00EF5037"/>
    <w:rsid w:val="00EF5612"/>
    <w:rsid w:val="00EF5FA1"/>
    <w:rsid w:val="00EF6B30"/>
    <w:rsid w:val="00EF6EBA"/>
    <w:rsid w:val="00EF7338"/>
    <w:rsid w:val="00EF7537"/>
    <w:rsid w:val="00F01AA4"/>
    <w:rsid w:val="00F021DC"/>
    <w:rsid w:val="00F0385C"/>
    <w:rsid w:val="00F04312"/>
    <w:rsid w:val="00F05584"/>
    <w:rsid w:val="00F05D89"/>
    <w:rsid w:val="00F06023"/>
    <w:rsid w:val="00F0603A"/>
    <w:rsid w:val="00F061EE"/>
    <w:rsid w:val="00F073A9"/>
    <w:rsid w:val="00F079EA"/>
    <w:rsid w:val="00F10E90"/>
    <w:rsid w:val="00F141F3"/>
    <w:rsid w:val="00F1457D"/>
    <w:rsid w:val="00F15F98"/>
    <w:rsid w:val="00F16F95"/>
    <w:rsid w:val="00F16FC4"/>
    <w:rsid w:val="00F17FAC"/>
    <w:rsid w:val="00F2049E"/>
    <w:rsid w:val="00F212C7"/>
    <w:rsid w:val="00F214FA"/>
    <w:rsid w:val="00F21D69"/>
    <w:rsid w:val="00F22A52"/>
    <w:rsid w:val="00F23BA0"/>
    <w:rsid w:val="00F23F13"/>
    <w:rsid w:val="00F24004"/>
    <w:rsid w:val="00F24913"/>
    <w:rsid w:val="00F257A8"/>
    <w:rsid w:val="00F2630D"/>
    <w:rsid w:val="00F278F3"/>
    <w:rsid w:val="00F3000D"/>
    <w:rsid w:val="00F30642"/>
    <w:rsid w:val="00F30833"/>
    <w:rsid w:val="00F30ADB"/>
    <w:rsid w:val="00F30EBD"/>
    <w:rsid w:val="00F315B6"/>
    <w:rsid w:val="00F32C07"/>
    <w:rsid w:val="00F41389"/>
    <w:rsid w:val="00F41700"/>
    <w:rsid w:val="00F420E7"/>
    <w:rsid w:val="00F4284D"/>
    <w:rsid w:val="00F43DA8"/>
    <w:rsid w:val="00F4425D"/>
    <w:rsid w:val="00F44F13"/>
    <w:rsid w:val="00F453A5"/>
    <w:rsid w:val="00F47ECA"/>
    <w:rsid w:val="00F501EF"/>
    <w:rsid w:val="00F504CC"/>
    <w:rsid w:val="00F514C1"/>
    <w:rsid w:val="00F5169A"/>
    <w:rsid w:val="00F53257"/>
    <w:rsid w:val="00F53292"/>
    <w:rsid w:val="00F53522"/>
    <w:rsid w:val="00F540D1"/>
    <w:rsid w:val="00F55522"/>
    <w:rsid w:val="00F56B4D"/>
    <w:rsid w:val="00F572EE"/>
    <w:rsid w:val="00F5738F"/>
    <w:rsid w:val="00F5749A"/>
    <w:rsid w:val="00F57724"/>
    <w:rsid w:val="00F57A98"/>
    <w:rsid w:val="00F57E36"/>
    <w:rsid w:val="00F60AAB"/>
    <w:rsid w:val="00F610D2"/>
    <w:rsid w:val="00F61440"/>
    <w:rsid w:val="00F61F33"/>
    <w:rsid w:val="00F63084"/>
    <w:rsid w:val="00F63ECB"/>
    <w:rsid w:val="00F644DF"/>
    <w:rsid w:val="00F64D51"/>
    <w:rsid w:val="00F64E95"/>
    <w:rsid w:val="00F66745"/>
    <w:rsid w:val="00F66C85"/>
    <w:rsid w:val="00F6732B"/>
    <w:rsid w:val="00F677F2"/>
    <w:rsid w:val="00F71579"/>
    <w:rsid w:val="00F71593"/>
    <w:rsid w:val="00F72B1D"/>
    <w:rsid w:val="00F72E65"/>
    <w:rsid w:val="00F744CD"/>
    <w:rsid w:val="00F74FFC"/>
    <w:rsid w:val="00F750C9"/>
    <w:rsid w:val="00F75605"/>
    <w:rsid w:val="00F7680D"/>
    <w:rsid w:val="00F772D7"/>
    <w:rsid w:val="00F77E3A"/>
    <w:rsid w:val="00F80A4E"/>
    <w:rsid w:val="00F80AD3"/>
    <w:rsid w:val="00F82DB2"/>
    <w:rsid w:val="00F83171"/>
    <w:rsid w:val="00F84135"/>
    <w:rsid w:val="00F84741"/>
    <w:rsid w:val="00F84B73"/>
    <w:rsid w:val="00F84EE0"/>
    <w:rsid w:val="00F8566F"/>
    <w:rsid w:val="00F85A94"/>
    <w:rsid w:val="00F869F4"/>
    <w:rsid w:val="00F86AC3"/>
    <w:rsid w:val="00F87372"/>
    <w:rsid w:val="00F8796E"/>
    <w:rsid w:val="00F90064"/>
    <w:rsid w:val="00F91E55"/>
    <w:rsid w:val="00F9310B"/>
    <w:rsid w:val="00F9350E"/>
    <w:rsid w:val="00F9396E"/>
    <w:rsid w:val="00F941D1"/>
    <w:rsid w:val="00F942EF"/>
    <w:rsid w:val="00F94AC0"/>
    <w:rsid w:val="00F963CA"/>
    <w:rsid w:val="00F96995"/>
    <w:rsid w:val="00F96AE7"/>
    <w:rsid w:val="00F96D75"/>
    <w:rsid w:val="00F97757"/>
    <w:rsid w:val="00F97CD4"/>
    <w:rsid w:val="00F97E10"/>
    <w:rsid w:val="00F97F2A"/>
    <w:rsid w:val="00FA0F4D"/>
    <w:rsid w:val="00FA167E"/>
    <w:rsid w:val="00FA238D"/>
    <w:rsid w:val="00FA3226"/>
    <w:rsid w:val="00FA4281"/>
    <w:rsid w:val="00FA45A5"/>
    <w:rsid w:val="00FA5311"/>
    <w:rsid w:val="00FA60FC"/>
    <w:rsid w:val="00FA635D"/>
    <w:rsid w:val="00FA63E5"/>
    <w:rsid w:val="00FA64E9"/>
    <w:rsid w:val="00FA6E45"/>
    <w:rsid w:val="00FA712C"/>
    <w:rsid w:val="00FB4F88"/>
    <w:rsid w:val="00FB6D48"/>
    <w:rsid w:val="00FB7D7D"/>
    <w:rsid w:val="00FB7E6F"/>
    <w:rsid w:val="00FC0167"/>
    <w:rsid w:val="00FC0B72"/>
    <w:rsid w:val="00FC0BEE"/>
    <w:rsid w:val="00FC100B"/>
    <w:rsid w:val="00FC11DD"/>
    <w:rsid w:val="00FC2C87"/>
    <w:rsid w:val="00FC2DE6"/>
    <w:rsid w:val="00FC3272"/>
    <w:rsid w:val="00FC4E84"/>
    <w:rsid w:val="00FC5C2E"/>
    <w:rsid w:val="00FC6418"/>
    <w:rsid w:val="00FC7E09"/>
    <w:rsid w:val="00FC7E5D"/>
    <w:rsid w:val="00FD0136"/>
    <w:rsid w:val="00FD0FE0"/>
    <w:rsid w:val="00FD1269"/>
    <w:rsid w:val="00FD29F3"/>
    <w:rsid w:val="00FD3115"/>
    <w:rsid w:val="00FD3257"/>
    <w:rsid w:val="00FD38C9"/>
    <w:rsid w:val="00FD3E7F"/>
    <w:rsid w:val="00FD5B5B"/>
    <w:rsid w:val="00FD5E38"/>
    <w:rsid w:val="00FD69AA"/>
    <w:rsid w:val="00FD69EC"/>
    <w:rsid w:val="00FE0B91"/>
    <w:rsid w:val="00FE1B2B"/>
    <w:rsid w:val="00FE32A3"/>
    <w:rsid w:val="00FE43D5"/>
    <w:rsid w:val="00FE52A7"/>
    <w:rsid w:val="00FE58CF"/>
    <w:rsid w:val="00FE5963"/>
    <w:rsid w:val="00FE6077"/>
    <w:rsid w:val="00FE6179"/>
    <w:rsid w:val="00FE763F"/>
    <w:rsid w:val="00FF0222"/>
    <w:rsid w:val="00FF17CF"/>
    <w:rsid w:val="00FF330B"/>
    <w:rsid w:val="00FF367F"/>
    <w:rsid w:val="00FF3D18"/>
    <w:rsid w:val="00FF5829"/>
    <w:rsid w:val="00FF5ECD"/>
    <w:rsid w:val="00FF60F3"/>
    <w:rsid w:val="00FF6362"/>
    <w:rsid w:val="00FF6882"/>
    <w:rsid w:val="00FF68FE"/>
    <w:rsid w:val="00FF6E61"/>
    <w:rsid w:val="00FF711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34061"/>
  <w15:docId w15:val="{B669990A-BCA1-4309-B9E8-9DFDECA86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835"/>
    <w:rPr>
      <w:noProof/>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9">
    <w:name w:val="heading 9"/>
    <w:basedOn w:val="Normal"/>
    <w:next w:val="Normal"/>
    <w:link w:val="Heading9Char"/>
    <w:unhideWhenUsed/>
    <w:qFormat/>
    <w:rsid w:val="00BB50B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05">
    <w:name w:val="105"/>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104">
    <w:name w:val="104"/>
    <w:basedOn w:val="TableNormal"/>
    <w:tblPr>
      <w:tblStyleRowBandSize w:val="1"/>
      <w:tblStyleColBandSize w:val="1"/>
      <w:tblCellMar>
        <w:top w:w="100" w:type="dxa"/>
        <w:left w:w="100" w:type="dxa"/>
        <w:bottom w:w="100" w:type="dxa"/>
        <w:right w:w="100" w:type="dxa"/>
      </w:tblCellMar>
    </w:tblPr>
  </w:style>
  <w:style w:type="table" w:customStyle="1" w:styleId="103">
    <w:name w:val="103"/>
    <w:basedOn w:val="TableNormal"/>
    <w:tblPr>
      <w:tblStyleRowBandSize w:val="1"/>
      <w:tblStyleColBandSize w:val="1"/>
      <w:tblCellMar>
        <w:top w:w="100" w:type="dxa"/>
        <w:left w:w="100" w:type="dxa"/>
        <w:bottom w:w="100" w:type="dxa"/>
        <w:right w:w="100" w:type="dxa"/>
      </w:tblCellMar>
    </w:tblPr>
  </w:style>
  <w:style w:type="table" w:customStyle="1" w:styleId="102">
    <w:name w:val="102"/>
    <w:basedOn w:val="TableNormal"/>
    <w:tblPr>
      <w:tblStyleRowBandSize w:val="1"/>
      <w:tblStyleColBandSize w:val="1"/>
      <w:tblCellMar>
        <w:top w:w="100" w:type="dxa"/>
        <w:left w:w="100" w:type="dxa"/>
        <w:bottom w:w="100" w:type="dxa"/>
        <w:right w:w="100" w:type="dxa"/>
      </w:tblCellMar>
    </w:tblPr>
  </w:style>
  <w:style w:type="table" w:customStyle="1" w:styleId="101">
    <w:name w:val="101"/>
    <w:basedOn w:val="TableNormal"/>
    <w:tblPr>
      <w:tblStyleRowBandSize w:val="1"/>
      <w:tblStyleColBandSize w:val="1"/>
      <w:tblCellMar>
        <w:top w:w="100" w:type="dxa"/>
        <w:left w:w="100" w:type="dxa"/>
        <w:bottom w:w="100" w:type="dxa"/>
        <w:right w:w="100" w:type="dxa"/>
      </w:tblCellMar>
    </w:tblPr>
  </w:style>
  <w:style w:type="table" w:customStyle="1" w:styleId="100">
    <w:name w:val="100"/>
    <w:basedOn w:val="TableNormal"/>
    <w:tblPr>
      <w:tblStyleRowBandSize w:val="1"/>
      <w:tblStyleColBandSize w:val="1"/>
      <w:tblCellMar>
        <w:top w:w="100" w:type="dxa"/>
        <w:left w:w="100" w:type="dxa"/>
        <w:bottom w:w="100" w:type="dxa"/>
        <w:right w:w="100" w:type="dxa"/>
      </w:tblCellMar>
    </w:tblPr>
  </w:style>
  <w:style w:type="table" w:customStyle="1" w:styleId="99">
    <w:name w:val="99"/>
    <w:basedOn w:val="TableNormal"/>
    <w:tblPr>
      <w:tblStyleRowBandSize w:val="1"/>
      <w:tblStyleColBandSize w:val="1"/>
      <w:tblCellMar>
        <w:top w:w="100" w:type="dxa"/>
        <w:left w:w="100" w:type="dxa"/>
        <w:bottom w:w="100" w:type="dxa"/>
        <w:right w:w="100" w:type="dxa"/>
      </w:tblCellMar>
    </w:tblPr>
  </w:style>
  <w:style w:type="table" w:customStyle="1" w:styleId="98">
    <w:name w:val="98"/>
    <w:basedOn w:val="TableNormal"/>
    <w:tblPr>
      <w:tblStyleRowBandSize w:val="1"/>
      <w:tblStyleColBandSize w:val="1"/>
      <w:tblCellMar>
        <w:top w:w="100" w:type="dxa"/>
        <w:left w:w="100" w:type="dxa"/>
        <w:bottom w:w="100" w:type="dxa"/>
        <w:right w:w="100" w:type="dxa"/>
      </w:tblCellMar>
    </w:tblPr>
  </w:style>
  <w:style w:type="table" w:customStyle="1" w:styleId="97">
    <w:name w:val="97"/>
    <w:basedOn w:val="TableNormal"/>
    <w:tblPr>
      <w:tblStyleRowBandSize w:val="1"/>
      <w:tblStyleColBandSize w:val="1"/>
      <w:tblCellMar>
        <w:top w:w="100" w:type="dxa"/>
        <w:left w:w="100" w:type="dxa"/>
        <w:bottom w:w="100" w:type="dxa"/>
        <w:right w:w="100" w:type="dxa"/>
      </w:tblCellMar>
    </w:tblPr>
  </w:style>
  <w:style w:type="table" w:customStyle="1" w:styleId="96">
    <w:name w:val="96"/>
    <w:basedOn w:val="TableNormal"/>
    <w:tblPr>
      <w:tblStyleRowBandSize w:val="1"/>
      <w:tblStyleColBandSize w:val="1"/>
      <w:tblCellMar>
        <w:top w:w="100" w:type="dxa"/>
        <w:left w:w="100" w:type="dxa"/>
        <w:bottom w:w="100" w:type="dxa"/>
        <w:right w:w="100" w:type="dxa"/>
      </w:tblCellMar>
    </w:tblPr>
  </w:style>
  <w:style w:type="table" w:customStyle="1" w:styleId="95">
    <w:name w:val="95"/>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94">
    <w:name w:val="94"/>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93">
    <w:name w:val="93"/>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92">
    <w:name w:val="92"/>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91">
    <w:name w:val="91"/>
    <w:basedOn w:val="TableNormal"/>
    <w:tblPr>
      <w:tblStyleRowBandSize w:val="1"/>
      <w:tblStyleColBandSize w:val="1"/>
      <w:tblCellMar>
        <w:top w:w="100" w:type="dxa"/>
        <w:left w:w="100" w:type="dxa"/>
        <w:bottom w:w="100" w:type="dxa"/>
        <w:right w:w="100" w:type="dxa"/>
      </w:tblCellMar>
    </w:tblPr>
  </w:style>
  <w:style w:type="table" w:customStyle="1" w:styleId="90">
    <w:name w:val="90"/>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89">
    <w:name w:val="89"/>
    <w:basedOn w:val="TableNormal"/>
    <w:tblPr>
      <w:tblStyleRowBandSize w:val="1"/>
      <w:tblStyleColBandSize w:val="1"/>
      <w:tblCellMar>
        <w:top w:w="100" w:type="dxa"/>
        <w:left w:w="100" w:type="dxa"/>
        <w:bottom w:w="100" w:type="dxa"/>
        <w:right w:w="100" w:type="dxa"/>
      </w:tblCellMar>
    </w:tblPr>
  </w:style>
  <w:style w:type="table" w:customStyle="1" w:styleId="88">
    <w:name w:val="88"/>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87">
    <w:name w:val="87"/>
    <w:basedOn w:val="TableNormal"/>
    <w:tblPr>
      <w:tblStyleRowBandSize w:val="1"/>
      <w:tblStyleColBandSize w:val="1"/>
      <w:tblCellMar>
        <w:top w:w="100" w:type="dxa"/>
        <w:left w:w="100" w:type="dxa"/>
        <w:bottom w:w="100" w:type="dxa"/>
        <w:right w:w="100" w:type="dxa"/>
      </w:tblCellMar>
    </w:tblPr>
  </w:style>
  <w:style w:type="table" w:customStyle="1" w:styleId="86">
    <w:name w:val="86"/>
    <w:basedOn w:val="TableNormal"/>
    <w:tblPr>
      <w:tblStyleRowBandSize w:val="1"/>
      <w:tblStyleColBandSize w:val="1"/>
      <w:tblCellMar>
        <w:top w:w="100" w:type="dxa"/>
        <w:left w:w="100" w:type="dxa"/>
        <w:bottom w:w="100" w:type="dxa"/>
        <w:right w:w="100" w:type="dxa"/>
      </w:tblCellMar>
    </w:tblPr>
  </w:style>
  <w:style w:type="table" w:customStyle="1" w:styleId="85">
    <w:name w:val="85"/>
    <w:basedOn w:val="TableNormal"/>
    <w:tblPr>
      <w:tblStyleRowBandSize w:val="1"/>
      <w:tblStyleColBandSize w:val="1"/>
      <w:tblCellMar>
        <w:top w:w="100" w:type="dxa"/>
        <w:left w:w="100" w:type="dxa"/>
        <w:bottom w:w="100" w:type="dxa"/>
        <w:right w:w="100" w:type="dxa"/>
      </w:tblCellMar>
    </w:tblPr>
  </w:style>
  <w:style w:type="table" w:customStyle="1" w:styleId="84">
    <w:name w:val="84"/>
    <w:basedOn w:val="TableNormal"/>
    <w:tblPr>
      <w:tblStyleRowBandSize w:val="1"/>
      <w:tblStyleColBandSize w:val="1"/>
      <w:tblCellMar>
        <w:top w:w="100" w:type="dxa"/>
        <w:left w:w="100" w:type="dxa"/>
        <w:bottom w:w="100" w:type="dxa"/>
        <w:right w:w="100" w:type="dxa"/>
      </w:tblCellMar>
    </w:tblPr>
  </w:style>
  <w:style w:type="table" w:customStyle="1" w:styleId="83">
    <w:name w:val="83"/>
    <w:basedOn w:val="TableNormal"/>
    <w:tblPr>
      <w:tblStyleRowBandSize w:val="1"/>
      <w:tblStyleColBandSize w:val="1"/>
      <w:tblCellMar>
        <w:top w:w="100" w:type="dxa"/>
        <w:left w:w="100" w:type="dxa"/>
        <w:bottom w:w="100" w:type="dxa"/>
        <w:right w:w="100" w:type="dxa"/>
      </w:tblCellMar>
    </w:tblPr>
  </w:style>
  <w:style w:type="table" w:customStyle="1" w:styleId="82">
    <w:name w:val="82"/>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81">
    <w:name w:val="81"/>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80">
    <w:name w:val="80"/>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9">
    <w:name w:val="79"/>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8">
    <w:name w:val="78"/>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7">
    <w:name w:val="77"/>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6">
    <w:name w:val="76"/>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5">
    <w:name w:val="75"/>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4">
    <w:name w:val="74"/>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3">
    <w:name w:val="73"/>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2">
    <w:name w:val="72"/>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1">
    <w:name w:val="71"/>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70">
    <w:name w:val="70"/>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9">
    <w:name w:val="69"/>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8">
    <w:name w:val="68"/>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7">
    <w:name w:val="67"/>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6">
    <w:name w:val="66"/>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5">
    <w:name w:val="65"/>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4">
    <w:name w:val="64"/>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3">
    <w:name w:val="63"/>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2">
    <w:name w:val="62"/>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1">
    <w:name w:val="61"/>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60">
    <w:name w:val="60"/>
    <w:basedOn w:val="TableNormal"/>
    <w:tblPr>
      <w:tblStyleRowBandSize w:val="1"/>
      <w:tblStyleColBandSize w:val="1"/>
      <w:tblCellMar>
        <w:top w:w="100" w:type="dxa"/>
        <w:left w:w="100" w:type="dxa"/>
        <w:bottom w:w="100" w:type="dxa"/>
        <w:right w:w="100" w:type="dxa"/>
      </w:tblCellMar>
    </w:tblPr>
  </w:style>
  <w:style w:type="table" w:customStyle="1" w:styleId="59">
    <w:name w:val="59"/>
    <w:basedOn w:val="TableNormal"/>
    <w:tblPr>
      <w:tblStyleRowBandSize w:val="1"/>
      <w:tblStyleColBandSize w:val="1"/>
      <w:tblCellMar>
        <w:top w:w="100" w:type="dxa"/>
        <w:left w:w="100" w:type="dxa"/>
        <w:bottom w:w="100" w:type="dxa"/>
        <w:right w:w="100" w:type="dxa"/>
      </w:tblCellMar>
    </w:tblPr>
  </w:style>
  <w:style w:type="table" w:customStyle="1" w:styleId="58">
    <w:name w:val="58"/>
    <w:basedOn w:val="TableNormal"/>
    <w:tblPr>
      <w:tblStyleRowBandSize w:val="1"/>
      <w:tblStyleColBandSize w:val="1"/>
      <w:tblCellMar>
        <w:top w:w="100" w:type="dxa"/>
        <w:left w:w="100" w:type="dxa"/>
        <w:bottom w:w="100" w:type="dxa"/>
        <w:right w:w="100" w:type="dxa"/>
      </w:tblCellMar>
    </w:tblPr>
  </w:style>
  <w:style w:type="table" w:customStyle="1" w:styleId="57">
    <w:name w:val="57"/>
    <w:basedOn w:val="TableNormal"/>
    <w:tblPr>
      <w:tblStyleRowBandSize w:val="1"/>
      <w:tblStyleColBandSize w:val="1"/>
      <w:tblCellMar>
        <w:top w:w="100" w:type="dxa"/>
        <w:left w:w="100" w:type="dxa"/>
        <w:bottom w:w="100" w:type="dxa"/>
        <w:right w:w="100" w:type="dxa"/>
      </w:tblCellMar>
    </w:tblPr>
  </w:style>
  <w:style w:type="table" w:customStyle="1" w:styleId="56">
    <w:name w:val="56"/>
    <w:basedOn w:val="TableNormal"/>
    <w:tblPr>
      <w:tblStyleRowBandSize w:val="1"/>
      <w:tblStyleColBandSize w:val="1"/>
      <w:tblCellMar>
        <w:top w:w="100" w:type="dxa"/>
        <w:left w:w="100" w:type="dxa"/>
        <w:bottom w:w="100" w:type="dxa"/>
        <w:right w:w="100" w:type="dxa"/>
      </w:tblCellMar>
    </w:tblPr>
  </w:style>
  <w:style w:type="table" w:customStyle="1" w:styleId="55">
    <w:name w:val="55"/>
    <w:basedOn w:val="TableNormal"/>
    <w:tblPr>
      <w:tblStyleRowBandSize w:val="1"/>
      <w:tblStyleColBandSize w:val="1"/>
      <w:tblCellMar>
        <w:top w:w="100" w:type="dxa"/>
        <w:left w:w="100" w:type="dxa"/>
        <w:bottom w:w="100" w:type="dxa"/>
        <w:right w:w="100" w:type="dxa"/>
      </w:tblCellMar>
    </w:tblPr>
  </w:style>
  <w:style w:type="table" w:customStyle="1" w:styleId="54">
    <w:name w:val="54"/>
    <w:basedOn w:val="TableNormal"/>
    <w:tblPr>
      <w:tblStyleRowBandSize w:val="1"/>
      <w:tblStyleColBandSize w:val="1"/>
      <w:tblCellMar>
        <w:top w:w="100" w:type="dxa"/>
        <w:left w:w="100" w:type="dxa"/>
        <w:bottom w:w="100" w:type="dxa"/>
        <w:right w:w="100" w:type="dxa"/>
      </w:tblCellMar>
    </w:tblPr>
    <w:tcPr>
      <w:shd w:val="clear" w:color="auto" w:fill="FEFEFE"/>
    </w:tcPr>
  </w:style>
  <w:style w:type="table" w:customStyle="1" w:styleId="53">
    <w:name w:val="53"/>
    <w:basedOn w:val="TableNormal"/>
    <w:tblPr>
      <w:tblStyleRowBandSize w:val="1"/>
      <w:tblStyleColBandSize w:val="1"/>
      <w:tblCellMar>
        <w:top w:w="100" w:type="dxa"/>
        <w:left w:w="100" w:type="dxa"/>
        <w:bottom w:w="100" w:type="dxa"/>
        <w:right w:w="100" w:type="dxa"/>
      </w:tblCellMar>
    </w:tblPr>
  </w:style>
  <w:style w:type="table" w:customStyle="1" w:styleId="52">
    <w:name w:val="52"/>
    <w:basedOn w:val="TableNormal"/>
    <w:tblPr>
      <w:tblStyleRowBandSize w:val="1"/>
      <w:tblStyleColBandSize w:val="1"/>
      <w:tblCellMar>
        <w:top w:w="100" w:type="dxa"/>
        <w:left w:w="100" w:type="dxa"/>
        <w:bottom w:w="100" w:type="dxa"/>
        <w:right w:w="100" w:type="dxa"/>
      </w:tblCellMar>
    </w:tblPr>
  </w:style>
  <w:style w:type="table" w:customStyle="1" w:styleId="51">
    <w:name w:val="51"/>
    <w:basedOn w:val="TableNormal"/>
    <w:tblPr>
      <w:tblStyleRowBandSize w:val="1"/>
      <w:tblStyleColBandSize w:val="1"/>
      <w:tblCellMar>
        <w:top w:w="100" w:type="dxa"/>
        <w:left w:w="100" w:type="dxa"/>
        <w:bottom w:w="100" w:type="dxa"/>
        <w:right w:w="100" w:type="dxa"/>
      </w:tblCellMar>
    </w:tblPr>
  </w:style>
  <w:style w:type="table" w:customStyle="1" w:styleId="50">
    <w:name w:val="50"/>
    <w:basedOn w:val="TableNormal"/>
    <w:tblPr>
      <w:tblStyleRowBandSize w:val="1"/>
      <w:tblStyleColBandSize w:val="1"/>
      <w:tblCellMar>
        <w:top w:w="100" w:type="dxa"/>
        <w:left w:w="100" w:type="dxa"/>
        <w:bottom w:w="100" w:type="dxa"/>
        <w:right w:w="100" w:type="dxa"/>
      </w:tblCellMar>
    </w:tblPr>
  </w:style>
  <w:style w:type="table" w:customStyle="1" w:styleId="49">
    <w:name w:val="49"/>
    <w:basedOn w:val="TableNormal"/>
    <w:tblPr>
      <w:tblStyleRowBandSize w:val="1"/>
      <w:tblStyleColBandSize w:val="1"/>
      <w:tblCellMar>
        <w:top w:w="100" w:type="dxa"/>
        <w:left w:w="100" w:type="dxa"/>
        <w:bottom w:w="100" w:type="dxa"/>
        <w:right w:w="100" w:type="dxa"/>
      </w:tblCellMar>
    </w:tblPr>
  </w:style>
  <w:style w:type="table" w:customStyle="1" w:styleId="48">
    <w:name w:val="48"/>
    <w:basedOn w:val="TableNormal"/>
    <w:tblPr>
      <w:tblStyleRowBandSize w:val="1"/>
      <w:tblStyleColBandSize w:val="1"/>
      <w:tblCellMar>
        <w:top w:w="100" w:type="dxa"/>
        <w:left w:w="100" w:type="dxa"/>
        <w:bottom w:w="100" w:type="dxa"/>
        <w:right w:w="100" w:type="dxa"/>
      </w:tblCellMar>
    </w:tblPr>
  </w:style>
  <w:style w:type="table" w:customStyle="1" w:styleId="47">
    <w:name w:val="47"/>
    <w:basedOn w:val="TableNormal"/>
    <w:tblPr>
      <w:tblStyleRowBandSize w:val="1"/>
      <w:tblStyleColBandSize w:val="1"/>
      <w:tblCellMar>
        <w:top w:w="100" w:type="dxa"/>
        <w:left w:w="100" w:type="dxa"/>
        <w:bottom w:w="100" w:type="dxa"/>
        <w:right w:w="100" w:type="dxa"/>
      </w:tblCellMar>
    </w:tblPr>
  </w:style>
  <w:style w:type="table" w:customStyle="1" w:styleId="46">
    <w:name w:val="46"/>
    <w:basedOn w:val="TableNormal"/>
    <w:tblPr>
      <w:tblStyleRowBandSize w:val="1"/>
      <w:tblStyleColBandSize w:val="1"/>
      <w:tblCellMar>
        <w:top w:w="100" w:type="dxa"/>
        <w:left w:w="100" w:type="dxa"/>
        <w:bottom w:w="100" w:type="dxa"/>
        <w:right w:w="100" w:type="dxa"/>
      </w:tblCellMar>
    </w:tblPr>
  </w:style>
  <w:style w:type="table" w:customStyle="1" w:styleId="45">
    <w:name w:val="45"/>
    <w:basedOn w:val="TableNormal"/>
    <w:tblPr>
      <w:tblStyleRowBandSize w:val="1"/>
      <w:tblStyleColBandSize w:val="1"/>
      <w:tblCellMar>
        <w:top w:w="100" w:type="dxa"/>
        <w:left w:w="100" w:type="dxa"/>
        <w:bottom w:w="100" w:type="dxa"/>
        <w:right w:w="100" w:type="dxa"/>
      </w:tblCellMar>
    </w:tblPr>
  </w:style>
  <w:style w:type="table" w:customStyle="1" w:styleId="44">
    <w:name w:val="44"/>
    <w:basedOn w:val="TableNormal"/>
    <w:tblPr>
      <w:tblStyleRowBandSize w:val="1"/>
      <w:tblStyleColBandSize w:val="1"/>
      <w:tblCellMar>
        <w:top w:w="100" w:type="dxa"/>
        <w:left w:w="100" w:type="dxa"/>
        <w:bottom w:w="100" w:type="dxa"/>
        <w:right w:w="100" w:type="dxa"/>
      </w:tblCellMar>
    </w:tblPr>
  </w:style>
  <w:style w:type="table" w:customStyle="1" w:styleId="43">
    <w:name w:val="43"/>
    <w:basedOn w:val="TableNormal"/>
    <w:tblPr>
      <w:tblStyleRowBandSize w:val="1"/>
      <w:tblStyleColBandSize w:val="1"/>
      <w:tblCellMar>
        <w:top w:w="100" w:type="dxa"/>
        <w:left w:w="100" w:type="dxa"/>
        <w:bottom w:w="100" w:type="dxa"/>
        <w:right w:w="100" w:type="dxa"/>
      </w:tblCellMar>
    </w:tblPr>
  </w:style>
  <w:style w:type="table" w:customStyle="1" w:styleId="42">
    <w:name w:val="42"/>
    <w:basedOn w:val="TableNormal"/>
    <w:tblPr>
      <w:tblStyleRowBandSize w:val="1"/>
      <w:tblStyleColBandSize w:val="1"/>
      <w:tblCellMar>
        <w:top w:w="100" w:type="dxa"/>
        <w:left w:w="100" w:type="dxa"/>
        <w:bottom w:w="100" w:type="dxa"/>
        <w:right w:w="100" w:type="dxa"/>
      </w:tblCellMar>
    </w:tblPr>
  </w:style>
  <w:style w:type="table" w:customStyle="1" w:styleId="41">
    <w:name w:val="41"/>
    <w:basedOn w:val="TableNormal"/>
    <w:tblPr>
      <w:tblStyleRowBandSize w:val="1"/>
      <w:tblStyleColBandSize w:val="1"/>
      <w:tblCellMar>
        <w:top w:w="100" w:type="dxa"/>
        <w:left w:w="100" w:type="dxa"/>
        <w:bottom w:w="100" w:type="dxa"/>
        <w:right w:w="100" w:type="dxa"/>
      </w:tblCellMar>
    </w:tblPr>
  </w:style>
  <w:style w:type="table" w:customStyle="1" w:styleId="40">
    <w:name w:val="40"/>
    <w:basedOn w:val="TableNormal"/>
    <w:tblPr>
      <w:tblStyleRowBandSize w:val="1"/>
      <w:tblStyleColBandSize w:val="1"/>
      <w:tblCellMar>
        <w:top w:w="100" w:type="dxa"/>
        <w:left w:w="100" w:type="dxa"/>
        <w:bottom w:w="100" w:type="dxa"/>
        <w:right w:w="100" w:type="dxa"/>
      </w:tblCellMar>
    </w:tblPr>
  </w:style>
  <w:style w:type="table" w:customStyle="1" w:styleId="39">
    <w:name w:val="39"/>
    <w:basedOn w:val="TableNormal"/>
    <w:tblPr>
      <w:tblStyleRowBandSize w:val="1"/>
      <w:tblStyleColBandSize w:val="1"/>
      <w:tblCellMar>
        <w:top w:w="100" w:type="dxa"/>
        <w:left w:w="100" w:type="dxa"/>
        <w:bottom w:w="100" w:type="dxa"/>
        <w:right w:w="100" w:type="dxa"/>
      </w:tblCellMar>
    </w:tblPr>
  </w:style>
  <w:style w:type="table" w:customStyle="1" w:styleId="38">
    <w:name w:val="38"/>
    <w:basedOn w:val="TableNormal"/>
    <w:tblPr>
      <w:tblStyleRowBandSize w:val="1"/>
      <w:tblStyleColBandSize w:val="1"/>
      <w:tblCellMar>
        <w:top w:w="100" w:type="dxa"/>
        <w:left w:w="100" w:type="dxa"/>
        <w:bottom w:w="100" w:type="dxa"/>
        <w:right w:w="100" w:type="dxa"/>
      </w:tblCellMar>
    </w:tblPr>
  </w:style>
  <w:style w:type="table" w:customStyle="1" w:styleId="37">
    <w:name w:val="37"/>
    <w:basedOn w:val="TableNormal"/>
    <w:tblPr>
      <w:tblStyleRowBandSize w:val="1"/>
      <w:tblStyleColBandSize w:val="1"/>
      <w:tblCellMar>
        <w:top w:w="100" w:type="dxa"/>
        <w:left w:w="100" w:type="dxa"/>
        <w:bottom w:w="100" w:type="dxa"/>
        <w:right w:w="100" w:type="dxa"/>
      </w:tblCellMar>
    </w:tblPr>
  </w:style>
  <w:style w:type="table" w:customStyle="1" w:styleId="36">
    <w:name w:val="36"/>
    <w:basedOn w:val="TableNormal"/>
    <w:tblPr>
      <w:tblStyleRowBandSize w:val="1"/>
      <w:tblStyleColBandSize w:val="1"/>
      <w:tblCellMar>
        <w:top w:w="100" w:type="dxa"/>
        <w:left w:w="100" w:type="dxa"/>
        <w:bottom w:w="100" w:type="dxa"/>
        <w:right w:w="100" w:type="dxa"/>
      </w:tblCellMar>
    </w:tblPr>
  </w:style>
  <w:style w:type="table" w:customStyle="1" w:styleId="35">
    <w:name w:val="35"/>
    <w:basedOn w:val="TableNormal"/>
    <w:tblPr>
      <w:tblStyleRowBandSize w:val="1"/>
      <w:tblStyleColBandSize w:val="1"/>
      <w:tblCellMar>
        <w:top w:w="100" w:type="dxa"/>
        <w:left w:w="100" w:type="dxa"/>
        <w:bottom w:w="100" w:type="dxa"/>
        <w:right w:w="100" w:type="dxa"/>
      </w:tblCellMar>
    </w:tblPr>
  </w:style>
  <w:style w:type="table" w:customStyle="1" w:styleId="34">
    <w:name w:val="34"/>
    <w:basedOn w:val="TableNormal"/>
    <w:tblPr>
      <w:tblStyleRowBandSize w:val="1"/>
      <w:tblStyleColBandSize w:val="1"/>
      <w:tblCellMar>
        <w:top w:w="100" w:type="dxa"/>
        <w:left w:w="100" w:type="dxa"/>
        <w:bottom w:w="100" w:type="dxa"/>
        <w:right w:w="100" w:type="dxa"/>
      </w:tblCellMar>
    </w:tblPr>
  </w:style>
  <w:style w:type="table" w:customStyle="1" w:styleId="33">
    <w:name w:val="33"/>
    <w:basedOn w:val="TableNormal"/>
    <w:tblPr>
      <w:tblStyleRowBandSize w:val="1"/>
      <w:tblStyleColBandSize w:val="1"/>
      <w:tblCellMar>
        <w:top w:w="100" w:type="dxa"/>
        <w:left w:w="100" w:type="dxa"/>
        <w:bottom w:w="100" w:type="dxa"/>
        <w:right w:w="100" w:type="dxa"/>
      </w:tblCellMar>
    </w:tblPr>
  </w:style>
  <w:style w:type="table" w:customStyle="1" w:styleId="32">
    <w:name w:val="32"/>
    <w:basedOn w:val="TableNormal"/>
    <w:tblPr>
      <w:tblStyleRowBandSize w:val="1"/>
      <w:tblStyleColBandSize w:val="1"/>
      <w:tblCellMar>
        <w:top w:w="100" w:type="dxa"/>
        <w:left w:w="100" w:type="dxa"/>
        <w:bottom w:w="100" w:type="dxa"/>
        <w:right w:w="100" w:type="dxa"/>
      </w:tblCellMar>
    </w:tblPr>
  </w:style>
  <w:style w:type="table" w:customStyle="1" w:styleId="31">
    <w:name w:val="31"/>
    <w:basedOn w:val="TableNormal"/>
    <w:tblPr>
      <w:tblStyleRowBandSize w:val="1"/>
      <w:tblStyleColBandSize w:val="1"/>
      <w:tblCellMar>
        <w:top w:w="100" w:type="dxa"/>
        <w:left w:w="100" w:type="dxa"/>
        <w:bottom w:w="100" w:type="dxa"/>
        <w:right w:w="100" w:type="dxa"/>
      </w:tblCellMar>
    </w:tblPr>
  </w:style>
  <w:style w:type="table" w:customStyle="1" w:styleId="30">
    <w:name w:val="30"/>
    <w:basedOn w:val="TableNormal"/>
    <w:tblPr>
      <w:tblStyleRowBandSize w:val="1"/>
      <w:tblStyleColBandSize w:val="1"/>
      <w:tblCellMar>
        <w:top w:w="100" w:type="dxa"/>
        <w:left w:w="100" w:type="dxa"/>
        <w:bottom w:w="100" w:type="dxa"/>
        <w:right w:w="100" w:type="dxa"/>
      </w:tblCellMar>
    </w:tblPr>
  </w:style>
  <w:style w:type="table" w:customStyle="1" w:styleId="29">
    <w:name w:val="29"/>
    <w:basedOn w:val="TableNormal"/>
    <w:tblPr>
      <w:tblStyleRowBandSize w:val="1"/>
      <w:tblStyleColBandSize w:val="1"/>
      <w:tblCellMar>
        <w:top w:w="100" w:type="dxa"/>
        <w:left w:w="100" w:type="dxa"/>
        <w:bottom w:w="100" w:type="dxa"/>
        <w:right w:w="100" w:type="dxa"/>
      </w:tblCellMar>
    </w:tblPr>
  </w:style>
  <w:style w:type="table" w:customStyle="1" w:styleId="28">
    <w:name w:val="28"/>
    <w:basedOn w:val="TableNormal"/>
    <w:tblPr>
      <w:tblStyleRowBandSize w:val="1"/>
      <w:tblStyleColBandSize w:val="1"/>
      <w:tblCellMar>
        <w:top w:w="100" w:type="dxa"/>
        <w:left w:w="100" w:type="dxa"/>
        <w:bottom w:w="100" w:type="dxa"/>
        <w:right w:w="100" w:type="dxa"/>
      </w:tblCellMar>
    </w:tblPr>
  </w:style>
  <w:style w:type="table" w:customStyle="1" w:styleId="27">
    <w:name w:val="27"/>
    <w:basedOn w:val="TableNormal"/>
    <w:tblPr>
      <w:tblStyleRowBandSize w:val="1"/>
      <w:tblStyleColBandSize w:val="1"/>
      <w:tblCellMar>
        <w:top w:w="100" w:type="dxa"/>
        <w:left w:w="100" w:type="dxa"/>
        <w:bottom w:w="100" w:type="dxa"/>
        <w:right w:w="100" w:type="dxa"/>
      </w:tblCellMar>
    </w:tblPr>
  </w:style>
  <w:style w:type="table" w:customStyle="1" w:styleId="26">
    <w:name w:val="26"/>
    <w:basedOn w:val="TableNormal"/>
    <w:tblPr>
      <w:tblStyleRowBandSize w:val="1"/>
      <w:tblStyleColBandSize w:val="1"/>
      <w:tblCellMar>
        <w:top w:w="100" w:type="dxa"/>
        <w:left w:w="100" w:type="dxa"/>
        <w:bottom w:w="100" w:type="dxa"/>
        <w:right w:w="100" w:type="dxa"/>
      </w:tblCellMar>
    </w:tblPr>
  </w:style>
  <w:style w:type="table" w:customStyle="1" w:styleId="25">
    <w:name w:val="25"/>
    <w:basedOn w:val="TableNormal"/>
    <w:tblPr>
      <w:tblStyleRowBandSize w:val="1"/>
      <w:tblStyleColBandSize w:val="1"/>
      <w:tblCellMar>
        <w:top w:w="100" w:type="dxa"/>
        <w:left w:w="100" w:type="dxa"/>
        <w:bottom w:w="100" w:type="dxa"/>
        <w:right w:w="100" w:type="dxa"/>
      </w:tblCellMar>
    </w:tblPr>
  </w:style>
  <w:style w:type="table" w:customStyle="1" w:styleId="24">
    <w:name w:val="24"/>
    <w:basedOn w:val="TableNormal"/>
    <w:tblPr>
      <w:tblStyleRowBandSize w:val="1"/>
      <w:tblStyleColBandSize w:val="1"/>
      <w:tblCellMar>
        <w:top w:w="100" w:type="dxa"/>
        <w:left w:w="100" w:type="dxa"/>
        <w:bottom w:w="100" w:type="dxa"/>
        <w:right w:w="100" w:type="dxa"/>
      </w:tblCellMar>
    </w:tblPr>
  </w:style>
  <w:style w:type="table" w:customStyle="1" w:styleId="23">
    <w:name w:val="23"/>
    <w:basedOn w:val="TableNormal"/>
    <w:tblPr>
      <w:tblStyleRowBandSize w:val="1"/>
      <w:tblStyleColBandSize w:val="1"/>
      <w:tblCellMar>
        <w:top w:w="100" w:type="dxa"/>
        <w:left w:w="100" w:type="dxa"/>
        <w:bottom w:w="100" w:type="dxa"/>
        <w:right w:w="100" w:type="dxa"/>
      </w:tblCellMar>
    </w:tblPr>
  </w:style>
  <w:style w:type="table" w:customStyle="1" w:styleId="22">
    <w:name w:val="22"/>
    <w:basedOn w:val="TableNormal"/>
    <w:tblPr>
      <w:tblStyleRowBandSize w:val="1"/>
      <w:tblStyleColBandSize w:val="1"/>
      <w:tblCellMar>
        <w:top w:w="100" w:type="dxa"/>
        <w:left w:w="100" w:type="dxa"/>
        <w:bottom w:w="100" w:type="dxa"/>
        <w:right w:w="100" w:type="dxa"/>
      </w:tblCellMar>
    </w:tblPr>
  </w:style>
  <w:style w:type="table" w:customStyle="1" w:styleId="21">
    <w:name w:val="21"/>
    <w:basedOn w:val="TableNormal"/>
    <w:tblPr>
      <w:tblStyleRowBandSize w:val="1"/>
      <w:tblStyleColBandSize w:val="1"/>
      <w:tblCellMar>
        <w:top w:w="100" w:type="dxa"/>
        <w:left w:w="100" w:type="dxa"/>
        <w:bottom w:w="100" w:type="dxa"/>
        <w:right w:w="100" w:type="dxa"/>
      </w:tblCellMar>
    </w:tblPr>
  </w:style>
  <w:style w:type="table" w:customStyle="1" w:styleId="20">
    <w:name w:val="20"/>
    <w:basedOn w:val="TableNormal"/>
    <w:tblPr>
      <w:tblStyleRowBandSize w:val="1"/>
      <w:tblStyleColBandSize w:val="1"/>
      <w:tblCellMar>
        <w:top w:w="100" w:type="dxa"/>
        <w:left w:w="100" w:type="dxa"/>
        <w:bottom w:w="100" w:type="dxa"/>
        <w:right w:w="100" w:type="dxa"/>
      </w:tblCellMar>
    </w:tblPr>
  </w:style>
  <w:style w:type="table" w:customStyle="1" w:styleId="19">
    <w:name w:val="19"/>
    <w:basedOn w:val="TableNormal"/>
    <w:tblPr>
      <w:tblStyleRowBandSize w:val="1"/>
      <w:tblStyleColBandSize w:val="1"/>
      <w:tblCellMar>
        <w:top w:w="100" w:type="dxa"/>
        <w:left w:w="100" w:type="dxa"/>
        <w:bottom w:w="100" w:type="dxa"/>
        <w:right w:w="100" w:type="dxa"/>
      </w:tblCellMar>
    </w:tblPr>
  </w:style>
  <w:style w:type="table" w:customStyle="1" w:styleId="18">
    <w:name w:val="18"/>
    <w:basedOn w:val="TableNormal"/>
    <w:tblPr>
      <w:tblStyleRowBandSize w:val="1"/>
      <w:tblStyleColBandSize w:val="1"/>
      <w:tblCellMar>
        <w:top w:w="100" w:type="dxa"/>
        <w:left w:w="100" w:type="dxa"/>
        <w:bottom w:w="100" w:type="dxa"/>
        <w:right w:w="100" w:type="dxa"/>
      </w:tblCellMar>
    </w:tbl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numbering" w:customStyle="1" w:styleId="NoList1">
    <w:name w:val="No List1"/>
    <w:next w:val="NoList"/>
    <w:uiPriority w:val="99"/>
    <w:semiHidden/>
    <w:unhideWhenUsed/>
    <w:rsid w:val="00836F1D"/>
  </w:style>
  <w:style w:type="character" w:customStyle="1" w:styleId="Heading1Char">
    <w:name w:val="Heading 1 Char"/>
    <w:basedOn w:val="DefaultParagraphFont"/>
    <w:link w:val="Heading1"/>
    <w:uiPriority w:val="9"/>
    <w:rsid w:val="00836F1D"/>
    <w:rPr>
      <w:b/>
      <w:sz w:val="48"/>
      <w:szCs w:val="48"/>
    </w:rPr>
  </w:style>
  <w:style w:type="character" w:customStyle="1" w:styleId="Heading2Char">
    <w:name w:val="Heading 2 Char"/>
    <w:basedOn w:val="DefaultParagraphFont"/>
    <w:link w:val="Heading2"/>
    <w:rsid w:val="00836F1D"/>
    <w:rPr>
      <w:b/>
      <w:sz w:val="36"/>
      <w:szCs w:val="36"/>
    </w:rPr>
  </w:style>
  <w:style w:type="character" w:customStyle="1" w:styleId="Heading3Char">
    <w:name w:val="Heading 3 Char"/>
    <w:basedOn w:val="DefaultParagraphFont"/>
    <w:link w:val="Heading3"/>
    <w:uiPriority w:val="9"/>
    <w:rsid w:val="00836F1D"/>
    <w:rPr>
      <w:b/>
      <w:sz w:val="28"/>
      <w:szCs w:val="28"/>
    </w:rPr>
  </w:style>
  <w:style w:type="paragraph" w:customStyle="1" w:styleId="msonormal0">
    <w:name w:val="msonormal"/>
    <w:basedOn w:val="Normal"/>
    <w:rsid w:val="00836F1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36F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36F1D"/>
    <w:rPr>
      <w:color w:val="0000FF"/>
      <w:u w:val="single"/>
    </w:rPr>
  </w:style>
  <w:style w:type="character" w:styleId="FollowedHyperlink">
    <w:name w:val="FollowedHyperlink"/>
    <w:basedOn w:val="DefaultParagraphFont"/>
    <w:uiPriority w:val="99"/>
    <w:semiHidden/>
    <w:unhideWhenUsed/>
    <w:rsid w:val="00836F1D"/>
    <w:rPr>
      <w:color w:val="800080"/>
      <w:u w:val="single"/>
    </w:rPr>
  </w:style>
  <w:style w:type="numbering" w:customStyle="1" w:styleId="NoList2">
    <w:name w:val="No List2"/>
    <w:next w:val="NoList"/>
    <w:uiPriority w:val="99"/>
    <w:semiHidden/>
    <w:unhideWhenUsed/>
    <w:rsid w:val="00947050"/>
  </w:style>
  <w:style w:type="character" w:styleId="Strong">
    <w:name w:val="Strong"/>
    <w:basedOn w:val="DefaultParagraphFont"/>
    <w:uiPriority w:val="22"/>
    <w:qFormat/>
    <w:rsid w:val="00947050"/>
    <w:rPr>
      <w:b/>
      <w:bCs/>
    </w:rPr>
  </w:style>
  <w:style w:type="character" w:styleId="Emphasis">
    <w:name w:val="Emphasis"/>
    <w:basedOn w:val="DefaultParagraphFont"/>
    <w:uiPriority w:val="20"/>
    <w:qFormat/>
    <w:rsid w:val="00947050"/>
    <w:rPr>
      <w:i/>
      <w:iCs/>
    </w:rPr>
  </w:style>
  <w:style w:type="numbering" w:customStyle="1" w:styleId="NoList3">
    <w:name w:val="No List3"/>
    <w:next w:val="NoList"/>
    <w:uiPriority w:val="99"/>
    <w:semiHidden/>
    <w:unhideWhenUsed/>
    <w:rsid w:val="00E826E2"/>
  </w:style>
  <w:style w:type="numbering" w:customStyle="1" w:styleId="NoList4">
    <w:name w:val="No List4"/>
    <w:next w:val="NoList"/>
    <w:uiPriority w:val="99"/>
    <w:semiHidden/>
    <w:unhideWhenUsed/>
    <w:rsid w:val="00E826E2"/>
  </w:style>
  <w:style w:type="numbering" w:customStyle="1" w:styleId="NoList5">
    <w:name w:val="No List5"/>
    <w:next w:val="NoList"/>
    <w:uiPriority w:val="99"/>
    <w:semiHidden/>
    <w:unhideWhenUsed/>
    <w:rsid w:val="00E826E2"/>
  </w:style>
  <w:style w:type="numbering" w:customStyle="1" w:styleId="NoList6">
    <w:name w:val="No List6"/>
    <w:next w:val="NoList"/>
    <w:uiPriority w:val="99"/>
    <w:semiHidden/>
    <w:unhideWhenUsed/>
    <w:rsid w:val="00E826E2"/>
  </w:style>
  <w:style w:type="numbering" w:customStyle="1" w:styleId="NoList7">
    <w:name w:val="No List7"/>
    <w:next w:val="NoList"/>
    <w:uiPriority w:val="99"/>
    <w:semiHidden/>
    <w:unhideWhenUsed/>
    <w:rsid w:val="00E826E2"/>
  </w:style>
  <w:style w:type="numbering" w:customStyle="1" w:styleId="NoList8">
    <w:name w:val="No List8"/>
    <w:next w:val="NoList"/>
    <w:uiPriority w:val="99"/>
    <w:semiHidden/>
    <w:unhideWhenUsed/>
    <w:rsid w:val="00D3529B"/>
  </w:style>
  <w:style w:type="numbering" w:customStyle="1" w:styleId="NoList9">
    <w:name w:val="No List9"/>
    <w:next w:val="NoList"/>
    <w:uiPriority w:val="99"/>
    <w:semiHidden/>
    <w:unhideWhenUsed/>
    <w:rsid w:val="000058C9"/>
  </w:style>
  <w:style w:type="paragraph" w:customStyle="1" w:styleId="heading4gm">
    <w:name w:val="heading4gm"/>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xshortdesc">
    <w:name w:val="dxshortdesc"/>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5orgmanual">
    <w:name w:val="heading5orgmanual"/>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evel0">
    <w:name w:val="listlevel0"/>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
    <w:name w:val="bullet1"/>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evel1">
    <w:name w:val="listlevel1"/>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2">
    <w:name w:val="normal2"/>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evel2">
    <w:name w:val="listlevel2"/>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0"/>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normal0">
    <w:name w:val="tablenormal0"/>
    <w:basedOn w:val="Normal"/>
    <w:rsid w:val="000058C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entered">
    <w:name w:val="tablecentered"/>
    <w:basedOn w:val="Normal"/>
    <w:rsid w:val="000D52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0D5235"/>
  </w:style>
  <w:style w:type="paragraph" w:customStyle="1" w:styleId="tablehead">
    <w:name w:val="tablehead"/>
    <w:basedOn w:val="Normal"/>
    <w:rsid w:val="000D52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char">
    <w:name w:val="tablechar"/>
    <w:basedOn w:val="DefaultParagraphFont"/>
    <w:rsid w:val="000D5235"/>
  </w:style>
  <w:style w:type="character" w:customStyle="1" w:styleId="Hyperlink1">
    <w:name w:val="Hyperlink1"/>
    <w:basedOn w:val="DefaultParagraphFont"/>
    <w:rsid w:val="000D5235"/>
  </w:style>
  <w:style w:type="character" w:customStyle="1" w:styleId="tablecharga">
    <w:name w:val="tablecharga"/>
    <w:basedOn w:val="DefaultParagraphFont"/>
    <w:rsid w:val="00942A19"/>
  </w:style>
  <w:style w:type="numbering" w:customStyle="1" w:styleId="NoList10">
    <w:name w:val="No List10"/>
    <w:next w:val="NoList"/>
    <w:uiPriority w:val="99"/>
    <w:semiHidden/>
    <w:unhideWhenUsed/>
    <w:rsid w:val="00F6732B"/>
  </w:style>
  <w:style w:type="paragraph" w:customStyle="1" w:styleId="normal6">
    <w:name w:val="normal6"/>
    <w:basedOn w:val="Normal"/>
    <w:rsid w:val="00F6732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1">
    <w:name w:val="No List11"/>
    <w:next w:val="NoList"/>
    <w:uiPriority w:val="99"/>
    <w:semiHidden/>
    <w:unhideWhenUsed/>
    <w:rsid w:val="00F6732B"/>
  </w:style>
  <w:style w:type="numbering" w:customStyle="1" w:styleId="NoList12">
    <w:name w:val="No List12"/>
    <w:next w:val="NoList"/>
    <w:uiPriority w:val="99"/>
    <w:semiHidden/>
    <w:unhideWhenUsed/>
    <w:rsid w:val="00A46AEA"/>
  </w:style>
  <w:style w:type="numbering" w:customStyle="1" w:styleId="NoList13">
    <w:name w:val="No List13"/>
    <w:next w:val="NoList"/>
    <w:uiPriority w:val="99"/>
    <w:semiHidden/>
    <w:unhideWhenUsed/>
    <w:rsid w:val="00A46AEA"/>
  </w:style>
  <w:style w:type="numbering" w:customStyle="1" w:styleId="NoList14">
    <w:name w:val="No List14"/>
    <w:next w:val="NoList"/>
    <w:uiPriority w:val="99"/>
    <w:semiHidden/>
    <w:unhideWhenUsed/>
    <w:rsid w:val="00A46AEA"/>
  </w:style>
  <w:style w:type="numbering" w:customStyle="1" w:styleId="NoList15">
    <w:name w:val="No List15"/>
    <w:next w:val="NoList"/>
    <w:uiPriority w:val="99"/>
    <w:semiHidden/>
    <w:unhideWhenUsed/>
    <w:rsid w:val="006E5B74"/>
  </w:style>
  <w:style w:type="numbering" w:customStyle="1" w:styleId="NoList16">
    <w:name w:val="No List16"/>
    <w:next w:val="NoList"/>
    <w:uiPriority w:val="99"/>
    <w:semiHidden/>
    <w:unhideWhenUsed/>
    <w:rsid w:val="00267B09"/>
  </w:style>
  <w:style w:type="numbering" w:customStyle="1" w:styleId="NoList17">
    <w:name w:val="No List17"/>
    <w:next w:val="NoList"/>
    <w:uiPriority w:val="99"/>
    <w:semiHidden/>
    <w:unhideWhenUsed/>
    <w:rsid w:val="00B70707"/>
  </w:style>
  <w:style w:type="numbering" w:customStyle="1" w:styleId="NoList18">
    <w:name w:val="No List18"/>
    <w:next w:val="NoList"/>
    <w:uiPriority w:val="99"/>
    <w:semiHidden/>
    <w:unhideWhenUsed/>
    <w:rsid w:val="00FA3226"/>
  </w:style>
  <w:style w:type="numbering" w:customStyle="1" w:styleId="NoList19">
    <w:name w:val="No List19"/>
    <w:next w:val="NoList"/>
    <w:uiPriority w:val="99"/>
    <w:semiHidden/>
    <w:unhideWhenUsed/>
    <w:rsid w:val="00C2670A"/>
  </w:style>
  <w:style w:type="numbering" w:customStyle="1" w:styleId="NoList20">
    <w:name w:val="No List20"/>
    <w:next w:val="NoList"/>
    <w:uiPriority w:val="99"/>
    <w:semiHidden/>
    <w:unhideWhenUsed/>
    <w:rsid w:val="009A267B"/>
  </w:style>
  <w:style w:type="numbering" w:customStyle="1" w:styleId="NoList21">
    <w:name w:val="No List21"/>
    <w:next w:val="NoList"/>
    <w:uiPriority w:val="99"/>
    <w:semiHidden/>
    <w:unhideWhenUsed/>
    <w:rsid w:val="003C4D3C"/>
  </w:style>
  <w:style w:type="numbering" w:customStyle="1" w:styleId="NoList22">
    <w:name w:val="No List22"/>
    <w:next w:val="NoList"/>
    <w:uiPriority w:val="99"/>
    <w:semiHidden/>
    <w:unhideWhenUsed/>
    <w:rsid w:val="004A4CD7"/>
  </w:style>
  <w:style w:type="numbering" w:customStyle="1" w:styleId="NoList23">
    <w:name w:val="No List23"/>
    <w:next w:val="NoList"/>
    <w:uiPriority w:val="99"/>
    <w:semiHidden/>
    <w:unhideWhenUsed/>
    <w:rsid w:val="004A4CD7"/>
  </w:style>
  <w:style w:type="numbering" w:customStyle="1" w:styleId="NoList24">
    <w:name w:val="No List24"/>
    <w:next w:val="NoList"/>
    <w:uiPriority w:val="99"/>
    <w:semiHidden/>
    <w:unhideWhenUsed/>
    <w:rsid w:val="004A4CD7"/>
  </w:style>
  <w:style w:type="character" w:customStyle="1" w:styleId="Hyperlink2">
    <w:name w:val="Hyperlink2"/>
    <w:basedOn w:val="DefaultParagraphFont"/>
    <w:rsid w:val="009A54B8"/>
  </w:style>
  <w:style w:type="paragraph" w:styleId="Header">
    <w:name w:val="header"/>
    <w:basedOn w:val="Normal"/>
    <w:link w:val="HeaderChar"/>
    <w:unhideWhenUsed/>
    <w:rsid w:val="00232E4A"/>
    <w:pPr>
      <w:tabs>
        <w:tab w:val="center" w:pos="4677"/>
        <w:tab w:val="right" w:pos="9355"/>
      </w:tabs>
      <w:spacing w:after="0" w:line="240" w:lineRule="auto"/>
    </w:pPr>
  </w:style>
  <w:style w:type="character" w:customStyle="1" w:styleId="HeaderChar">
    <w:name w:val="Header Char"/>
    <w:basedOn w:val="DefaultParagraphFont"/>
    <w:link w:val="Header"/>
    <w:rsid w:val="00232E4A"/>
    <w:rPr>
      <w:lang w:val="en-GB"/>
    </w:rPr>
  </w:style>
  <w:style w:type="paragraph" w:styleId="Footer">
    <w:name w:val="footer"/>
    <w:basedOn w:val="Normal"/>
    <w:link w:val="FooterChar"/>
    <w:uiPriority w:val="99"/>
    <w:unhideWhenUsed/>
    <w:rsid w:val="00232E4A"/>
    <w:pPr>
      <w:tabs>
        <w:tab w:val="center" w:pos="4677"/>
        <w:tab w:val="right" w:pos="9355"/>
      </w:tabs>
      <w:spacing w:after="0" w:line="240" w:lineRule="auto"/>
    </w:pPr>
  </w:style>
  <w:style w:type="character" w:customStyle="1" w:styleId="FooterChar">
    <w:name w:val="Footer Char"/>
    <w:basedOn w:val="DefaultParagraphFont"/>
    <w:link w:val="Footer"/>
    <w:uiPriority w:val="99"/>
    <w:rsid w:val="00232E4A"/>
    <w:rPr>
      <w:lang w:val="en-GB"/>
    </w:rPr>
  </w:style>
  <w:style w:type="paragraph" w:styleId="TOCHeading">
    <w:name w:val="TOC Heading"/>
    <w:basedOn w:val="Heading1"/>
    <w:next w:val="Normal"/>
    <w:uiPriority w:val="39"/>
    <w:unhideWhenUsed/>
    <w:qFormat/>
    <w:rsid w:val="006652FC"/>
    <w:pPr>
      <w:spacing w:before="240" w:after="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aliases w:val="CUPRINS"/>
    <w:basedOn w:val="Normal"/>
    <w:next w:val="Normal"/>
    <w:autoRedefine/>
    <w:uiPriority w:val="39"/>
    <w:unhideWhenUsed/>
    <w:rsid w:val="00A442C3"/>
    <w:pPr>
      <w:tabs>
        <w:tab w:val="right" w:leader="dot" w:pos="9629"/>
      </w:tabs>
      <w:spacing w:after="100"/>
    </w:pPr>
    <w:rPr>
      <w:rFonts w:ascii="Times New Roman" w:hAnsi="Times New Roman" w:cs="Times New Roman"/>
      <w:sz w:val="24"/>
      <w:lang w:val="en-GB"/>
    </w:rPr>
  </w:style>
  <w:style w:type="paragraph" w:styleId="TOC2">
    <w:name w:val="toc 2"/>
    <w:basedOn w:val="Normal"/>
    <w:next w:val="Normal"/>
    <w:autoRedefine/>
    <w:uiPriority w:val="39"/>
    <w:unhideWhenUsed/>
    <w:rsid w:val="00576D23"/>
    <w:pPr>
      <w:tabs>
        <w:tab w:val="right" w:leader="dot" w:pos="9639"/>
      </w:tabs>
      <w:spacing w:after="100"/>
      <w:ind w:left="220"/>
      <w:jc w:val="both"/>
    </w:pPr>
    <w:rPr>
      <w:rFonts w:asciiTheme="minorHAnsi" w:eastAsiaTheme="minorEastAsia" w:hAnsiTheme="minorHAnsi" w:cs="Times New Roman"/>
      <w:lang w:val="en-US" w:eastAsia="en-US"/>
    </w:rPr>
  </w:style>
  <w:style w:type="paragraph" w:styleId="TOC3">
    <w:name w:val="toc 3"/>
    <w:basedOn w:val="Normal"/>
    <w:next w:val="Normal"/>
    <w:autoRedefine/>
    <w:uiPriority w:val="39"/>
    <w:unhideWhenUsed/>
    <w:rsid w:val="00092923"/>
    <w:pPr>
      <w:tabs>
        <w:tab w:val="right" w:leader="dot" w:pos="9639"/>
      </w:tabs>
      <w:spacing w:after="100"/>
      <w:ind w:left="440" w:right="142"/>
    </w:pPr>
    <w:rPr>
      <w:rFonts w:ascii="Times New Roman" w:eastAsia="Times New Roman" w:hAnsi="Times New Roman" w:cs="Times New Roman"/>
      <w:b/>
      <w:bCs/>
      <w:lang w:val="en-US" w:eastAsia="en-US"/>
    </w:rPr>
  </w:style>
  <w:style w:type="paragraph" w:styleId="NoSpacing">
    <w:name w:val="No Spacing"/>
    <w:uiPriority w:val="1"/>
    <w:qFormat/>
    <w:rsid w:val="00C94EB3"/>
    <w:pPr>
      <w:spacing w:after="0" w:line="240" w:lineRule="auto"/>
    </w:pPr>
    <w:rPr>
      <w:lang w:val="en-GB"/>
    </w:rPr>
  </w:style>
  <w:style w:type="paragraph" w:styleId="TOC4">
    <w:name w:val="toc 4"/>
    <w:basedOn w:val="Normal"/>
    <w:next w:val="Normal"/>
    <w:autoRedefine/>
    <w:uiPriority w:val="39"/>
    <w:unhideWhenUsed/>
    <w:rsid w:val="00716AB6"/>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716AB6"/>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716AB6"/>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716AB6"/>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716AB6"/>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716AB6"/>
    <w:pPr>
      <w:spacing w:after="100"/>
      <w:ind w:left="1760"/>
    </w:pPr>
    <w:rPr>
      <w:rFonts w:asciiTheme="minorHAnsi" w:eastAsiaTheme="minorEastAsia" w:hAnsiTheme="minorHAnsi" w:cstheme="minorBidi"/>
    </w:rPr>
  </w:style>
  <w:style w:type="character" w:customStyle="1" w:styleId="1a">
    <w:name w:val="Неразрешенное упоминание1"/>
    <w:basedOn w:val="DefaultParagraphFont"/>
    <w:uiPriority w:val="99"/>
    <w:semiHidden/>
    <w:unhideWhenUsed/>
    <w:rsid w:val="00716AB6"/>
    <w:rPr>
      <w:color w:val="605E5C"/>
      <w:shd w:val="clear" w:color="auto" w:fill="E1DFDD"/>
    </w:rPr>
  </w:style>
  <w:style w:type="table" w:styleId="TableGrid">
    <w:name w:val="Table Grid"/>
    <w:basedOn w:val="TableNormal"/>
    <w:uiPriority w:val="59"/>
    <w:rsid w:val="00611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0">
    <w:name w:val="List Paragraph"/>
    <w:basedOn w:val="Normal"/>
    <w:uiPriority w:val="34"/>
    <w:qFormat/>
    <w:rsid w:val="00542E57"/>
    <w:pPr>
      <w:ind w:left="720"/>
      <w:contextualSpacing/>
    </w:pPr>
  </w:style>
  <w:style w:type="paragraph" w:styleId="BalloonText">
    <w:name w:val="Balloon Text"/>
    <w:basedOn w:val="Normal"/>
    <w:link w:val="BalloonTextChar"/>
    <w:uiPriority w:val="99"/>
    <w:semiHidden/>
    <w:unhideWhenUsed/>
    <w:rsid w:val="00E84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6DF"/>
    <w:rPr>
      <w:rFonts w:ascii="Tahoma" w:hAnsi="Tahoma" w:cs="Tahoma"/>
      <w:noProof/>
      <w:sz w:val="16"/>
      <w:szCs w:val="16"/>
    </w:rPr>
  </w:style>
  <w:style w:type="character" w:customStyle="1" w:styleId="fontstyle01">
    <w:name w:val="fontstyle01"/>
    <w:basedOn w:val="DefaultParagraphFont"/>
    <w:rsid w:val="00B7635D"/>
    <w:rPr>
      <w:rFonts w:ascii="Calibri-Bold" w:hAnsi="Calibri-Bold" w:hint="default"/>
      <w:b/>
      <w:bCs/>
      <w:i w:val="0"/>
      <w:iCs w:val="0"/>
      <w:color w:val="FFFFFF"/>
      <w:sz w:val="32"/>
      <w:szCs w:val="32"/>
    </w:rPr>
  </w:style>
  <w:style w:type="character" w:customStyle="1" w:styleId="fontstyle21">
    <w:name w:val="fontstyle21"/>
    <w:basedOn w:val="DefaultParagraphFont"/>
    <w:rsid w:val="00B7635D"/>
    <w:rPr>
      <w:rFonts w:ascii="Calibri-Italic" w:hAnsi="Calibri-Italic" w:hint="default"/>
      <w:b w:val="0"/>
      <w:bCs w:val="0"/>
      <w:i/>
      <w:iCs/>
      <w:color w:val="000000"/>
      <w:sz w:val="14"/>
      <w:szCs w:val="14"/>
    </w:rPr>
  </w:style>
  <w:style w:type="character" w:customStyle="1" w:styleId="fontstyle31">
    <w:name w:val="fontstyle31"/>
    <w:basedOn w:val="DefaultParagraphFont"/>
    <w:rsid w:val="00B7635D"/>
    <w:rPr>
      <w:rFonts w:ascii="Calibri" w:hAnsi="Calibri" w:cs="Calibri" w:hint="default"/>
      <w:b w:val="0"/>
      <w:bCs w:val="0"/>
      <w:i w:val="0"/>
      <w:iCs w:val="0"/>
      <w:color w:val="000000"/>
      <w:sz w:val="22"/>
      <w:szCs w:val="22"/>
    </w:rPr>
  </w:style>
  <w:style w:type="character" w:customStyle="1" w:styleId="fontstyle41">
    <w:name w:val="fontstyle41"/>
    <w:basedOn w:val="DefaultParagraphFont"/>
    <w:rsid w:val="00B7635D"/>
    <w:rPr>
      <w:rFonts w:ascii="Calibri-BoldItalic" w:hAnsi="Calibri-BoldItalic" w:hint="default"/>
      <w:b/>
      <w:bCs/>
      <w:i/>
      <w:iCs/>
      <w:color w:val="000000"/>
      <w:sz w:val="18"/>
      <w:szCs w:val="18"/>
    </w:rPr>
  </w:style>
  <w:style w:type="paragraph" w:styleId="FootnoteText">
    <w:name w:val="footnote text"/>
    <w:basedOn w:val="Normal"/>
    <w:link w:val="FootnoteTextChar"/>
    <w:uiPriority w:val="99"/>
    <w:unhideWhenUsed/>
    <w:rsid w:val="00F8566F"/>
    <w:pPr>
      <w:spacing w:after="0" w:line="240" w:lineRule="auto"/>
    </w:pPr>
    <w:rPr>
      <w:sz w:val="20"/>
      <w:szCs w:val="20"/>
    </w:rPr>
  </w:style>
  <w:style w:type="character" w:customStyle="1" w:styleId="FootnoteTextChar">
    <w:name w:val="Footnote Text Char"/>
    <w:basedOn w:val="DefaultParagraphFont"/>
    <w:link w:val="FootnoteText"/>
    <w:uiPriority w:val="99"/>
    <w:rsid w:val="00F8566F"/>
    <w:rPr>
      <w:noProof/>
      <w:sz w:val="20"/>
      <w:szCs w:val="20"/>
    </w:rPr>
  </w:style>
  <w:style w:type="character" w:styleId="FootnoteReference">
    <w:name w:val="footnote reference"/>
    <w:basedOn w:val="DefaultParagraphFont"/>
    <w:uiPriority w:val="99"/>
    <w:semiHidden/>
    <w:unhideWhenUsed/>
    <w:rsid w:val="00F8566F"/>
    <w:rPr>
      <w:vertAlign w:val="superscript"/>
    </w:rPr>
  </w:style>
  <w:style w:type="paragraph" w:customStyle="1" w:styleId="Default">
    <w:name w:val="Default"/>
    <w:rsid w:val="009D2BEE"/>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semiHidden/>
    <w:unhideWhenUsed/>
    <w:rsid w:val="00753BEF"/>
    <w:rPr>
      <w:color w:val="605E5C"/>
      <w:shd w:val="clear" w:color="auto" w:fill="E1DFDD"/>
    </w:rPr>
  </w:style>
  <w:style w:type="character" w:customStyle="1" w:styleId="Heading9Char">
    <w:name w:val="Heading 9 Char"/>
    <w:basedOn w:val="DefaultParagraphFont"/>
    <w:link w:val="Heading9"/>
    <w:rsid w:val="00BB50B6"/>
    <w:rPr>
      <w:rFonts w:asciiTheme="majorHAnsi" w:eastAsiaTheme="majorEastAsia" w:hAnsiTheme="majorHAnsi" w:cstheme="majorBidi"/>
      <w:i/>
      <w:iCs/>
      <w:noProof/>
      <w:color w:val="272727" w:themeColor="text1" w:themeTint="D8"/>
      <w:sz w:val="21"/>
      <w:szCs w:val="21"/>
    </w:rPr>
  </w:style>
  <w:style w:type="paragraph" w:styleId="BodyTextIndent">
    <w:name w:val="Body Text Indent"/>
    <w:basedOn w:val="Normal"/>
    <w:link w:val="BodyTextIndentChar"/>
    <w:semiHidden/>
    <w:rsid w:val="00A64AA1"/>
    <w:pPr>
      <w:spacing w:after="0" w:line="240" w:lineRule="auto"/>
      <w:ind w:firstLine="720"/>
      <w:jc w:val="both"/>
    </w:pPr>
    <w:rPr>
      <w:rFonts w:ascii="Arial" w:eastAsia="Times New Roman" w:hAnsi="Arial" w:cs="Arial"/>
      <w:noProof w:val="0"/>
      <w:sz w:val="24"/>
      <w:szCs w:val="24"/>
      <w:lang w:val="en-US" w:eastAsia="en-US"/>
    </w:rPr>
  </w:style>
  <w:style w:type="character" w:customStyle="1" w:styleId="BodyTextIndentChar">
    <w:name w:val="Body Text Indent Char"/>
    <w:basedOn w:val="DefaultParagraphFont"/>
    <w:link w:val="BodyTextIndent"/>
    <w:semiHidden/>
    <w:rsid w:val="00A64AA1"/>
    <w:rPr>
      <w:rFonts w:ascii="Arial" w:eastAsia="Times New Roman" w:hAnsi="Arial" w:cs="Arial"/>
      <w:sz w:val="24"/>
      <w:szCs w:val="24"/>
      <w:lang w:val="en-US" w:eastAsia="en-US"/>
    </w:rPr>
  </w:style>
  <w:style w:type="character" w:customStyle="1" w:styleId="Heading4Char">
    <w:name w:val="Heading 4 Char"/>
    <w:basedOn w:val="DefaultParagraphFont"/>
    <w:link w:val="Heading4"/>
    <w:uiPriority w:val="9"/>
    <w:rsid w:val="00462A6E"/>
    <w:rPr>
      <w:b/>
      <w:noProof/>
      <w:sz w:val="24"/>
      <w:szCs w:val="24"/>
    </w:rPr>
  </w:style>
  <w:style w:type="character" w:styleId="UnresolvedMention">
    <w:name w:val="Unresolved Mention"/>
    <w:basedOn w:val="DefaultParagraphFont"/>
    <w:uiPriority w:val="99"/>
    <w:semiHidden/>
    <w:unhideWhenUsed/>
    <w:rsid w:val="00126B51"/>
    <w:rPr>
      <w:color w:val="605E5C"/>
      <w:shd w:val="clear" w:color="auto" w:fill="E1DFDD"/>
    </w:rPr>
  </w:style>
  <w:style w:type="character" w:customStyle="1" w:styleId="Heading6Char">
    <w:name w:val="Heading 6 Char"/>
    <w:basedOn w:val="DefaultParagraphFont"/>
    <w:link w:val="Heading6"/>
    <w:uiPriority w:val="9"/>
    <w:semiHidden/>
    <w:rsid w:val="00E52167"/>
    <w:rPr>
      <w:b/>
      <w:noProof/>
      <w:sz w:val="20"/>
      <w:szCs w:val="20"/>
    </w:rPr>
  </w:style>
  <w:style w:type="paragraph" w:styleId="HTMLPreformatted">
    <w:name w:val="HTML Preformatted"/>
    <w:basedOn w:val="Normal"/>
    <w:link w:val="HTMLPreformattedChar"/>
    <w:semiHidden/>
    <w:rsid w:val="00E52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pPr>
    <w:rPr>
      <w:rFonts w:ascii="Courier New" w:eastAsia="Courier New" w:hAnsi="Courier New" w:cs="Courier New"/>
      <w:sz w:val="20"/>
      <w:szCs w:val="20"/>
      <w:lang w:val="ro-MD" w:eastAsia="en-US"/>
    </w:rPr>
  </w:style>
  <w:style w:type="character" w:customStyle="1" w:styleId="HTMLPreformattedChar">
    <w:name w:val="HTML Preformatted Char"/>
    <w:basedOn w:val="DefaultParagraphFont"/>
    <w:link w:val="HTMLPreformatted"/>
    <w:semiHidden/>
    <w:rsid w:val="00E52167"/>
    <w:rPr>
      <w:rFonts w:ascii="Courier New" w:eastAsia="Courier New" w:hAnsi="Courier New" w:cs="Courier New"/>
      <w:noProof/>
      <w:sz w:val="20"/>
      <w:szCs w:val="20"/>
      <w:lang w:val="ro-MD" w:eastAsia="en-US"/>
    </w:rPr>
  </w:style>
  <w:style w:type="paragraph" w:styleId="BodyText2">
    <w:name w:val="Body Text 2"/>
    <w:basedOn w:val="Normal"/>
    <w:link w:val="BodyText2Char"/>
    <w:uiPriority w:val="99"/>
    <w:semiHidden/>
    <w:unhideWhenUsed/>
    <w:rsid w:val="00E52167"/>
    <w:pPr>
      <w:spacing w:after="120" w:line="480" w:lineRule="auto"/>
    </w:pPr>
    <w:rPr>
      <w:rFonts w:ascii="Times New Roman" w:eastAsia="Times New Roman" w:hAnsi="Times New Roman" w:cs="Times New Roman"/>
      <w:sz w:val="20"/>
      <w:szCs w:val="20"/>
      <w:lang w:val="ro-MD" w:eastAsia="en-US"/>
    </w:rPr>
  </w:style>
  <w:style w:type="character" w:customStyle="1" w:styleId="BodyText2Char">
    <w:name w:val="Body Text 2 Char"/>
    <w:basedOn w:val="DefaultParagraphFont"/>
    <w:link w:val="BodyText2"/>
    <w:uiPriority w:val="99"/>
    <w:semiHidden/>
    <w:rsid w:val="00E52167"/>
    <w:rPr>
      <w:rFonts w:ascii="Times New Roman" w:eastAsia="Times New Roman" w:hAnsi="Times New Roman" w:cs="Times New Roman"/>
      <w:noProof/>
      <w:sz w:val="20"/>
      <w:szCs w:val="20"/>
      <w:lang w:val="ro-MD" w:eastAsia="en-US"/>
    </w:rPr>
  </w:style>
  <w:style w:type="paragraph" w:customStyle="1" w:styleId="Heading31">
    <w:name w:val="Heading 31"/>
    <w:rsid w:val="00E52167"/>
    <w:pPr>
      <w:keepNext/>
      <w:spacing w:before="120" w:after="80" w:line="276" w:lineRule="auto"/>
    </w:pPr>
    <w:rPr>
      <w:rFonts w:ascii="Times New Roman" w:eastAsiaTheme="minorHAnsi" w:hAnsi="Times New Roman" w:cstheme="minorBidi"/>
      <w:b/>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6691">
      <w:bodyDiv w:val="1"/>
      <w:marLeft w:val="0"/>
      <w:marRight w:val="0"/>
      <w:marTop w:val="0"/>
      <w:marBottom w:val="0"/>
      <w:divBdr>
        <w:top w:val="none" w:sz="0" w:space="0" w:color="auto"/>
        <w:left w:val="none" w:sz="0" w:space="0" w:color="auto"/>
        <w:bottom w:val="none" w:sz="0" w:space="0" w:color="auto"/>
        <w:right w:val="none" w:sz="0" w:space="0" w:color="auto"/>
      </w:divBdr>
    </w:div>
    <w:div w:id="101147028">
      <w:bodyDiv w:val="1"/>
      <w:marLeft w:val="0"/>
      <w:marRight w:val="0"/>
      <w:marTop w:val="0"/>
      <w:marBottom w:val="0"/>
      <w:divBdr>
        <w:top w:val="none" w:sz="0" w:space="0" w:color="auto"/>
        <w:left w:val="none" w:sz="0" w:space="0" w:color="auto"/>
        <w:bottom w:val="none" w:sz="0" w:space="0" w:color="auto"/>
        <w:right w:val="none" w:sz="0" w:space="0" w:color="auto"/>
      </w:divBdr>
    </w:div>
    <w:div w:id="109974711">
      <w:bodyDiv w:val="1"/>
      <w:marLeft w:val="0"/>
      <w:marRight w:val="0"/>
      <w:marTop w:val="0"/>
      <w:marBottom w:val="0"/>
      <w:divBdr>
        <w:top w:val="none" w:sz="0" w:space="0" w:color="auto"/>
        <w:left w:val="none" w:sz="0" w:space="0" w:color="auto"/>
        <w:bottom w:val="none" w:sz="0" w:space="0" w:color="auto"/>
        <w:right w:val="none" w:sz="0" w:space="0" w:color="auto"/>
      </w:divBdr>
    </w:div>
    <w:div w:id="249654941">
      <w:bodyDiv w:val="1"/>
      <w:marLeft w:val="0"/>
      <w:marRight w:val="0"/>
      <w:marTop w:val="0"/>
      <w:marBottom w:val="0"/>
      <w:divBdr>
        <w:top w:val="none" w:sz="0" w:space="0" w:color="auto"/>
        <w:left w:val="none" w:sz="0" w:space="0" w:color="auto"/>
        <w:bottom w:val="none" w:sz="0" w:space="0" w:color="auto"/>
        <w:right w:val="none" w:sz="0" w:space="0" w:color="auto"/>
      </w:divBdr>
    </w:div>
    <w:div w:id="268053757">
      <w:bodyDiv w:val="1"/>
      <w:marLeft w:val="0"/>
      <w:marRight w:val="0"/>
      <w:marTop w:val="0"/>
      <w:marBottom w:val="0"/>
      <w:divBdr>
        <w:top w:val="none" w:sz="0" w:space="0" w:color="auto"/>
        <w:left w:val="none" w:sz="0" w:space="0" w:color="auto"/>
        <w:bottom w:val="none" w:sz="0" w:space="0" w:color="auto"/>
        <w:right w:val="none" w:sz="0" w:space="0" w:color="auto"/>
      </w:divBdr>
    </w:div>
    <w:div w:id="286008323">
      <w:bodyDiv w:val="1"/>
      <w:marLeft w:val="0"/>
      <w:marRight w:val="0"/>
      <w:marTop w:val="0"/>
      <w:marBottom w:val="0"/>
      <w:divBdr>
        <w:top w:val="none" w:sz="0" w:space="0" w:color="auto"/>
        <w:left w:val="none" w:sz="0" w:space="0" w:color="auto"/>
        <w:bottom w:val="none" w:sz="0" w:space="0" w:color="auto"/>
        <w:right w:val="none" w:sz="0" w:space="0" w:color="auto"/>
      </w:divBdr>
    </w:div>
    <w:div w:id="385640410">
      <w:bodyDiv w:val="1"/>
      <w:marLeft w:val="0"/>
      <w:marRight w:val="0"/>
      <w:marTop w:val="0"/>
      <w:marBottom w:val="0"/>
      <w:divBdr>
        <w:top w:val="none" w:sz="0" w:space="0" w:color="auto"/>
        <w:left w:val="none" w:sz="0" w:space="0" w:color="auto"/>
        <w:bottom w:val="none" w:sz="0" w:space="0" w:color="auto"/>
        <w:right w:val="none" w:sz="0" w:space="0" w:color="auto"/>
      </w:divBdr>
    </w:div>
    <w:div w:id="420371502">
      <w:bodyDiv w:val="1"/>
      <w:marLeft w:val="0"/>
      <w:marRight w:val="0"/>
      <w:marTop w:val="0"/>
      <w:marBottom w:val="0"/>
      <w:divBdr>
        <w:top w:val="none" w:sz="0" w:space="0" w:color="auto"/>
        <w:left w:val="none" w:sz="0" w:space="0" w:color="auto"/>
        <w:bottom w:val="none" w:sz="0" w:space="0" w:color="auto"/>
        <w:right w:val="none" w:sz="0" w:space="0" w:color="auto"/>
      </w:divBdr>
    </w:div>
    <w:div w:id="444083224">
      <w:bodyDiv w:val="1"/>
      <w:marLeft w:val="0"/>
      <w:marRight w:val="0"/>
      <w:marTop w:val="0"/>
      <w:marBottom w:val="0"/>
      <w:divBdr>
        <w:top w:val="none" w:sz="0" w:space="0" w:color="auto"/>
        <w:left w:val="none" w:sz="0" w:space="0" w:color="auto"/>
        <w:bottom w:val="none" w:sz="0" w:space="0" w:color="auto"/>
        <w:right w:val="none" w:sz="0" w:space="0" w:color="auto"/>
      </w:divBdr>
    </w:div>
    <w:div w:id="458375425">
      <w:bodyDiv w:val="1"/>
      <w:marLeft w:val="0"/>
      <w:marRight w:val="0"/>
      <w:marTop w:val="0"/>
      <w:marBottom w:val="0"/>
      <w:divBdr>
        <w:top w:val="none" w:sz="0" w:space="0" w:color="auto"/>
        <w:left w:val="none" w:sz="0" w:space="0" w:color="auto"/>
        <w:bottom w:val="none" w:sz="0" w:space="0" w:color="auto"/>
        <w:right w:val="none" w:sz="0" w:space="0" w:color="auto"/>
      </w:divBdr>
    </w:div>
    <w:div w:id="492110622">
      <w:bodyDiv w:val="1"/>
      <w:marLeft w:val="0"/>
      <w:marRight w:val="0"/>
      <w:marTop w:val="0"/>
      <w:marBottom w:val="0"/>
      <w:divBdr>
        <w:top w:val="none" w:sz="0" w:space="0" w:color="auto"/>
        <w:left w:val="none" w:sz="0" w:space="0" w:color="auto"/>
        <w:bottom w:val="none" w:sz="0" w:space="0" w:color="auto"/>
        <w:right w:val="none" w:sz="0" w:space="0" w:color="auto"/>
      </w:divBdr>
    </w:div>
    <w:div w:id="494876483">
      <w:bodyDiv w:val="1"/>
      <w:marLeft w:val="0"/>
      <w:marRight w:val="0"/>
      <w:marTop w:val="0"/>
      <w:marBottom w:val="0"/>
      <w:divBdr>
        <w:top w:val="none" w:sz="0" w:space="0" w:color="auto"/>
        <w:left w:val="none" w:sz="0" w:space="0" w:color="auto"/>
        <w:bottom w:val="none" w:sz="0" w:space="0" w:color="auto"/>
        <w:right w:val="none" w:sz="0" w:space="0" w:color="auto"/>
      </w:divBdr>
    </w:div>
    <w:div w:id="501968205">
      <w:bodyDiv w:val="1"/>
      <w:marLeft w:val="0"/>
      <w:marRight w:val="0"/>
      <w:marTop w:val="0"/>
      <w:marBottom w:val="0"/>
      <w:divBdr>
        <w:top w:val="none" w:sz="0" w:space="0" w:color="auto"/>
        <w:left w:val="none" w:sz="0" w:space="0" w:color="auto"/>
        <w:bottom w:val="none" w:sz="0" w:space="0" w:color="auto"/>
        <w:right w:val="none" w:sz="0" w:space="0" w:color="auto"/>
      </w:divBdr>
    </w:div>
    <w:div w:id="503283484">
      <w:bodyDiv w:val="1"/>
      <w:marLeft w:val="0"/>
      <w:marRight w:val="0"/>
      <w:marTop w:val="0"/>
      <w:marBottom w:val="0"/>
      <w:divBdr>
        <w:top w:val="none" w:sz="0" w:space="0" w:color="auto"/>
        <w:left w:val="none" w:sz="0" w:space="0" w:color="auto"/>
        <w:bottom w:val="none" w:sz="0" w:space="0" w:color="auto"/>
        <w:right w:val="none" w:sz="0" w:space="0" w:color="auto"/>
      </w:divBdr>
    </w:div>
    <w:div w:id="523062093">
      <w:bodyDiv w:val="1"/>
      <w:marLeft w:val="0"/>
      <w:marRight w:val="0"/>
      <w:marTop w:val="0"/>
      <w:marBottom w:val="0"/>
      <w:divBdr>
        <w:top w:val="none" w:sz="0" w:space="0" w:color="auto"/>
        <w:left w:val="none" w:sz="0" w:space="0" w:color="auto"/>
        <w:bottom w:val="none" w:sz="0" w:space="0" w:color="auto"/>
        <w:right w:val="none" w:sz="0" w:space="0" w:color="auto"/>
      </w:divBdr>
    </w:div>
    <w:div w:id="559244520">
      <w:bodyDiv w:val="1"/>
      <w:marLeft w:val="0"/>
      <w:marRight w:val="0"/>
      <w:marTop w:val="0"/>
      <w:marBottom w:val="0"/>
      <w:divBdr>
        <w:top w:val="none" w:sz="0" w:space="0" w:color="auto"/>
        <w:left w:val="none" w:sz="0" w:space="0" w:color="auto"/>
        <w:bottom w:val="none" w:sz="0" w:space="0" w:color="auto"/>
        <w:right w:val="none" w:sz="0" w:space="0" w:color="auto"/>
      </w:divBdr>
    </w:div>
    <w:div w:id="585456590">
      <w:bodyDiv w:val="1"/>
      <w:marLeft w:val="0"/>
      <w:marRight w:val="0"/>
      <w:marTop w:val="0"/>
      <w:marBottom w:val="0"/>
      <w:divBdr>
        <w:top w:val="none" w:sz="0" w:space="0" w:color="auto"/>
        <w:left w:val="none" w:sz="0" w:space="0" w:color="auto"/>
        <w:bottom w:val="none" w:sz="0" w:space="0" w:color="auto"/>
        <w:right w:val="none" w:sz="0" w:space="0" w:color="auto"/>
      </w:divBdr>
    </w:div>
    <w:div w:id="650868109">
      <w:bodyDiv w:val="1"/>
      <w:marLeft w:val="0"/>
      <w:marRight w:val="0"/>
      <w:marTop w:val="0"/>
      <w:marBottom w:val="0"/>
      <w:divBdr>
        <w:top w:val="none" w:sz="0" w:space="0" w:color="auto"/>
        <w:left w:val="none" w:sz="0" w:space="0" w:color="auto"/>
        <w:bottom w:val="none" w:sz="0" w:space="0" w:color="auto"/>
        <w:right w:val="none" w:sz="0" w:space="0" w:color="auto"/>
      </w:divBdr>
      <w:divsChild>
        <w:div w:id="15087184">
          <w:marLeft w:val="0"/>
          <w:marRight w:val="0"/>
          <w:marTop w:val="0"/>
          <w:marBottom w:val="0"/>
          <w:divBdr>
            <w:top w:val="none" w:sz="0" w:space="0" w:color="auto"/>
            <w:left w:val="none" w:sz="0" w:space="0" w:color="auto"/>
            <w:bottom w:val="none" w:sz="0" w:space="0" w:color="auto"/>
            <w:right w:val="none" w:sz="0" w:space="0" w:color="auto"/>
          </w:divBdr>
          <w:divsChild>
            <w:div w:id="1291012918">
              <w:marLeft w:val="0"/>
              <w:marRight w:val="0"/>
              <w:marTop w:val="0"/>
              <w:marBottom w:val="0"/>
              <w:divBdr>
                <w:top w:val="none" w:sz="0" w:space="0" w:color="auto"/>
                <w:left w:val="none" w:sz="0" w:space="0" w:color="auto"/>
                <w:bottom w:val="none" w:sz="0" w:space="0" w:color="auto"/>
                <w:right w:val="none" w:sz="0" w:space="0" w:color="auto"/>
              </w:divBdr>
              <w:divsChild>
                <w:div w:id="239606274">
                  <w:marLeft w:val="0"/>
                  <w:marRight w:val="0"/>
                  <w:marTop w:val="0"/>
                  <w:marBottom w:val="0"/>
                  <w:divBdr>
                    <w:top w:val="none" w:sz="0" w:space="0" w:color="auto"/>
                    <w:left w:val="none" w:sz="0" w:space="0" w:color="auto"/>
                    <w:bottom w:val="none" w:sz="0" w:space="0" w:color="auto"/>
                    <w:right w:val="none" w:sz="0" w:space="0" w:color="auto"/>
                  </w:divBdr>
                </w:div>
                <w:div w:id="56356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421988">
          <w:marLeft w:val="0"/>
          <w:marRight w:val="0"/>
          <w:marTop w:val="0"/>
          <w:marBottom w:val="0"/>
          <w:divBdr>
            <w:top w:val="none" w:sz="0" w:space="0" w:color="auto"/>
            <w:left w:val="none" w:sz="0" w:space="0" w:color="auto"/>
            <w:bottom w:val="none" w:sz="0" w:space="0" w:color="auto"/>
            <w:right w:val="none" w:sz="0" w:space="0" w:color="auto"/>
          </w:divBdr>
          <w:divsChild>
            <w:div w:id="2058510365">
              <w:marLeft w:val="0"/>
              <w:marRight w:val="0"/>
              <w:marTop w:val="0"/>
              <w:marBottom w:val="0"/>
              <w:divBdr>
                <w:top w:val="none" w:sz="0" w:space="0" w:color="auto"/>
                <w:left w:val="none" w:sz="0" w:space="0" w:color="auto"/>
                <w:bottom w:val="none" w:sz="0" w:space="0" w:color="auto"/>
                <w:right w:val="none" w:sz="0" w:space="0" w:color="auto"/>
              </w:divBdr>
              <w:divsChild>
                <w:div w:id="18502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512012">
      <w:bodyDiv w:val="1"/>
      <w:marLeft w:val="0"/>
      <w:marRight w:val="0"/>
      <w:marTop w:val="0"/>
      <w:marBottom w:val="0"/>
      <w:divBdr>
        <w:top w:val="none" w:sz="0" w:space="0" w:color="auto"/>
        <w:left w:val="none" w:sz="0" w:space="0" w:color="auto"/>
        <w:bottom w:val="none" w:sz="0" w:space="0" w:color="auto"/>
        <w:right w:val="none" w:sz="0" w:space="0" w:color="auto"/>
      </w:divBdr>
    </w:div>
    <w:div w:id="775447866">
      <w:bodyDiv w:val="1"/>
      <w:marLeft w:val="0"/>
      <w:marRight w:val="0"/>
      <w:marTop w:val="0"/>
      <w:marBottom w:val="0"/>
      <w:divBdr>
        <w:top w:val="none" w:sz="0" w:space="0" w:color="auto"/>
        <w:left w:val="none" w:sz="0" w:space="0" w:color="auto"/>
        <w:bottom w:val="none" w:sz="0" w:space="0" w:color="auto"/>
        <w:right w:val="none" w:sz="0" w:space="0" w:color="auto"/>
      </w:divBdr>
    </w:div>
    <w:div w:id="777724363">
      <w:bodyDiv w:val="1"/>
      <w:marLeft w:val="0"/>
      <w:marRight w:val="0"/>
      <w:marTop w:val="0"/>
      <w:marBottom w:val="0"/>
      <w:divBdr>
        <w:top w:val="none" w:sz="0" w:space="0" w:color="auto"/>
        <w:left w:val="none" w:sz="0" w:space="0" w:color="auto"/>
        <w:bottom w:val="none" w:sz="0" w:space="0" w:color="auto"/>
        <w:right w:val="none" w:sz="0" w:space="0" w:color="auto"/>
      </w:divBdr>
      <w:divsChild>
        <w:div w:id="909537422">
          <w:marLeft w:val="0"/>
          <w:marRight w:val="0"/>
          <w:marTop w:val="0"/>
          <w:marBottom w:val="0"/>
          <w:divBdr>
            <w:top w:val="none" w:sz="0" w:space="0" w:color="auto"/>
            <w:left w:val="none" w:sz="0" w:space="0" w:color="auto"/>
            <w:bottom w:val="none" w:sz="0" w:space="0" w:color="auto"/>
            <w:right w:val="none" w:sz="0" w:space="0" w:color="auto"/>
          </w:divBdr>
        </w:div>
        <w:div w:id="1020280261">
          <w:marLeft w:val="0"/>
          <w:marRight w:val="0"/>
          <w:marTop w:val="0"/>
          <w:marBottom w:val="0"/>
          <w:divBdr>
            <w:top w:val="none" w:sz="0" w:space="0" w:color="auto"/>
            <w:left w:val="none" w:sz="0" w:space="0" w:color="auto"/>
            <w:bottom w:val="none" w:sz="0" w:space="0" w:color="auto"/>
            <w:right w:val="none" w:sz="0" w:space="0" w:color="auto"/>
          </w:divBdr>
        </w:div>
      </w:divsChild>
    </w:div>
    <w:div w:id="792283467">
      <w:bodyDiv w:val="1"/>
      <w:marLeft w:val="0"/>
      <w:marRight w:val="0"/>
      <w:marTop w:val="0"/>
      <w:marBottom w:val="0"/>
      <w:divBdr>
        <w:top w:val="none" w:sz="0" w:space="0" w:color="auto"/>
        <w:left w:val="none" w:sz="0" w:space="0" w:color="auto"/>
        <w:bottom w:val="none" w:sz="0" w:space="0" w:color="auto"/>
        <w:right w:val="none" w:sz="0" w:space="0" w:color="auto"/>
      </w:divBdr>
    </w:div>
    <w:div w:id="798232074">
      <w:bodyDiv w:val="1"/>
      <w:marLeft w:val="0"/>
      <w:marRight w:val="0"/>
      <w:marTop w:val="0"/>
      <w:marBottom w:val="0"/>
      <w:divBdr>
        <w:top w:val="none" w:sz="0" w:space="0" w:color="auto"/>
        <w:left w:val="none" w:sz="0" w:space="0" w:color="auto"/>
        <w:bottom w:val="none" w:sz="0" w:space="0" w:color="auto"/>
        <w:right w:val="none" w:sz="0" w:space="0" w:color="auto"/>
      </w:divBdr>
    </w:div>
    <w:div w:id="828981371">
      <w:bodyDiv w:val="1"/>
      <w:marLeft w:val="0"/>
      <w:marRight w:val="0"/>
      <w:marTop w:val="0"/>
      <w:marBottom w:val="0"/>
      <w:divBdr>
        <w:top w:val="none" w:sz="0" w:space="0" w:color="auto"/>
        <w:left w:val="none" w:sz="0" w:space="0" w:color="auto"/>
        <w:bottom w:val="none" w:sz="0" w:space="0" w:color="auto"/>
        <w:right w:val="none" w:sz="0" w:space="0" w:color="auto"/>
      </w:divBdr>
    </w:div>
    <w:div w:id="834224981">
      <w:bodyDiv w:val="1"/>
      <w:marLeft w:val="0"/>
      <w:marRight w:val="0"/>
      <w:marTop w:val="0"/>
      <w:marBottom w:val="0"/>
      <w:divBdr>
        <w:top w:val="none" w:sz="0" w:space="0" w:color="auto"/>
        <w:left w:val="none" w:sz="0" w:space="0" w:color="auto"/>
        <w:bottom w:val="none" w:sz="0" w:space="0" w:color="auto"/>
        <w:right w:val="none" w:sz="0" w:space="0" w:color="auto"/>
      </w:divBdr>
    </w:div>
    <w:div w:id="844369690">
      <w:bodyDiv w:val="1"/>
      <w:marLeft w:val="0"/>
      <w:marRight w:val="0"/>
      <w:marTop w:val="0"/>
      <w:marBottom w:val="0"/>
      <w:divBdr>
        <w:top w:val="none" w:sz="0" w:space="0" w:color="auto"/>
        <w:left w:val="none" w:sz="0" w:space="0" w:color="auto"/>
        <w:bottom w:val="none" w:sz="0" w:space="0" w:color="auto"/>
        <w:right w:val="none" w:sz="0" w:space="0" w:color="auto"/>
      </w:divBdr>
    </w:div>
    <w:div w:id="886259831">
      <w:bodyDiv w:val="1"/>
      <w:marLeft w:val="0"/>
      <w:marRight w:val="0"/>
      <w:marTop w:val="0"/>
      <w:marBottom w:val="0"/>
      <w:divBdr>
        <w:top w:val="none" w:sz="0" w:space="0" w:color="auto"/>
        <w:left w:val="none" w:sz="0" w:space="0" w:color="auto"/>
        <w:bottom w:val="none" w:sz="0" w:space="0" w:color="auto"/>
        <w:right w:val="none" w:sz="0" w:space="0" w:color="auto"/>
      </w:divBdr>
    </w:div>
    <w:div w:id="904029933">
      <w:bodyDiv w:val="1"/>
      <w:marLeft w:val="0"/>
      <w:marRight w:val="0"/>
      <w:marTop w:val="0"/>
      <w:marBottom w:val="0"/>
      <w:divBdr>
        <w:top w:val="none" w:sz="0" w:space="0" w:color="auto"/>
        <w:left w:val="none" w:sz="0" w:space="0" w:color="auto"/>
        <w:bottom w:val="none" w:sz="0" w:space="0" w:color="auto"/>
        <w:right w:val="none" w:sz="0" w:space="0" w:color="auto"/>
      </w:divBdr>
    </w:div>
    <w:div w:id="930431621">
      <w:bodyDiv w:val="1"/>
      <w:marLeft w:val="0"/>
      <w:marRight w:val="0"/>
      <w:marTop w:val="0"/>
      <w:marBottom w:val="0"/>
      <w:divBdr>
        <w:top w:val="none" w:sz="0" w:space="0" w:color="auto"/>
        <w:left w:val="none" w:sz="0" w:space="0" w:color="auto"/>
        <w:bottom w:val="none" w:sz="0" w:space="0" w:color="auto"/>
        <w:right w:val="none" w:sz="0" w:space="0" w:color="auto"/>
      </w:divBdr>
    </w:div>
    <w:div w:id="964429982">
      <w:bodyDiv w:val="1"/>
      <w:marLeft w:val="0"/>
      <w:marRight w:val="0"/>
      <w:marTop w:val="0"/>
      <w:marBottom w:val="0"/>
      <w:divBdr>
        <w:top w:val="none" w:sz="0" w:space="0" w:color="auto"/>
        <w:left w:val="none" w:sz="0" w:space="0" w:color="auto"/>
        <w:bottom w:val="none" w:sz="0" w:space="0" w:color="auto"/>
        <w:right w:val="none" w:sz="0" w:space="0" w:color="auto"/>
      </w:divBdr>
    </w:div>
    <w:div w:id="1017584354">
      <w:bodyDiv w:val="1"/>
      <w:marLeft w:val="0"/>
      <w:marRight w:val="0"/>
      <w:marTop w:val="0"/>
      <w:marBottom w:val="0"/>
      <w:divBdr>
        <w:top w:val="none" w:sz="0" w:space="0" w:color="auto"/>
        <w:left w:val="none" w:sz="0" w:space="0" w:color="auto"/>
        <w:bottom w:val="none" w:sz="0" w:space="0" w:color="auto"/>
        <w:right w:val="none" w:sz="0" w:space="0" w:color="auto"/>
      </w:divBdr>
    </w:div>
    <w:div w:id="1054889162">
      <w:bodyDiv w:val="1"/>
      <w:marLeft w:val="0"/>
      <w:marRight w:val="0"/>
      <w:marTop w:val="0"/>
      <w:marBottom w:val="0"/>
      <w:divBdr>
        <w:top w:val="none" w:sz="0" w:space="0" w:color="auto"/>
        <w:left w:val="none" w:sz="0" w:space="0" w:color="auto"/>
        <w:bottom w:val="none" w:sz="0" w:space="0" w:color="auto"/>
        <w:right w:val="none" w:sz="0" w:space="0" w:color="auto"/>
      </w:divBdr>
      <w:divsChild>
        <w:div w:id="548538750">
          <w:marLeft w:val="0"/>
          <w:marRight w:val="0"/>
          <w:marTop w:val="0"/>
          <w:marBottom w:val="0"/>
          <w:divBdr>
            <w:top w:val="none" w:sz="0" w:space="0" w:color="auto"/>
            <w:left w:val="none" w:sz="0" w:space="0" w:color="auto"/>
            <w:bottom w:val="none" w:sz="0" w:space="0" w:color="auto"/>
            <w:right w:val="none" w:sz="0" w:space="0" w:color="auto"/>
          </w:divBdr>
        </w:div>
        <w:div w:id="549997908">
          <w:marLeft w:val="0"/>
          <w:marRight w:val="0"/>
          <w:marTop w:val="0"/>
          <w:marBottom w:val="0"/>
          <w:divBdr>
            <w:top w:val="none" w:sz="0" w:space="0" w:color="auto"/>
            <w:left w:val="none" w:sz="0" w:space="0" w:color="auto"/>
            <w:bottom w:val="none" w:sz="0" w:space="0" w:color="auto"/>
            <w:right w:val="none" w:sz="0" w:space="0" w:color="auto"/>
          </w:divBdr>
        </w:div>
        <w:div w:id="738753423">
          <w:marLeft w:val="0"/>
          <w:marRight w:val="0"/>
          <w:marTop w:val="0"/>
          <w:marBottom w:val="0"/>
          <w:divBdr>
            <w:top w:val="none" w:sz="0" w:space="0" w:color="auto"/>
            <w:left w:val="none" w:sz="0" w:space="0" w:color="auto"/>
            <w:bottom w:val="none" w:sz="0" w:space="0" w:color="auto"/>
            <w:right w:val="none" w:sz="0" w:space="0" w:color="auto"/>
          </w:divBdr>
        </w:div>
        <w:div w:id="1283536675">
          <w:marLeft w:val="0"/>
          <w:marRight w:val="0"/>
          <w:marTop w:val="0"/>
          <w:marBottom w:val="0"/>
          <w:divBdr>
            <w:top w:val="none" w:sz="0" w:space="0" w:color="auto"/>
            <w:left w:val="none" w:sz="0" w:space="0" w:color="auto"/>
            <w:bottom w:val="none" w:sz="0" w:space="0" w:color="auto"/>
            <w:right w:val="none" w:sz="0" w:space="0" w:color="auto"/>
          </w:divBdr>
        </w:div>
        <w:div w:id="1530946838">
          <w:marLeft w:val="0"/>
          <w:marRight w:val="0"/>
          <w:marTop w:val="0"/>
          <w:marBottom w:val="0"/>
          <w:divBdr>
            <w:top w:val="none" w:sz="0" w:space="0" w:color="auto"/>
            <w:left w:val="none" w:sz="0" w:space="0" w:color="auto"/>
            <w:bottom w:val="none" w:sz="0" w:space="0" w:color="auto"/>
            <w:right w:val="none" w:sz="0" w:space="0" w:color="auto"/>
          </w:divBdr>
        </w:div>
      </w:divsChild>
    </w:div>
    <w:div w:id="1058355228">
      <w:bodyDiv w:val="1"/>
      <w:marLeft w:val="0"/>
      <w:marRight w:val="0"/>
      <w:marTop w:val="0"/>
      <w:marBottom w:val="0"/>
      <w:divBdr>
        <w:top w:val="none" w:sz="0" w:space="0" w:color="auto"/>
        <w:left w:val="none" w:sz="0" w:space="0" w:color="auto"/>
        <w:bottom w:val="none" w:sz="0" w:space="0" w:color="auto"/>
        <w:right w:val="none" w:sz="0" w:space="0" w:color="auto"/>
      </w:divBdr>
    </w:div>
    <w:div w:id="1107190262">
      <w:bodyDiv w:val="1"/>
      <w:marLeft w:val="0"/>
      <w:marRight w:val="0"/>
      <w:marTop w:val="0"/>
      <w:marBottom w:val="0"/>
      <w:divBdr>
        <w:top w:val="none" w:sz="0" w:space="0" w:color="auto"/>
        <w:left w:val="none" w:sz="0" w:space="0" w:color="auto"/>
        <w:bottom w:val="none" w:sz="0" w:space="0" w:color="auto"/>
        <w:right w:val="none" w:sz="0" w:space="0" w:color="auto"/>
      </w:divBdr>
    </w:div>
    <w:div w:id="1172183413">
      <w:bodyDiv w:val="1"/>
      <w:marLeft w:val="0"/>
      <w:marRight w:val="0"/>
      <w:marTop w:val="0"/>
      <w:marBottom w:val="0"/>
      <w:divBdr>
        <w:top w:val="none" w:sz="0" w:space="0" w:color="auto"/>
        <w:left w:val="none" w:sz="0" w:space="0" w:color="auto"/>
        <w:bottom w:val="none" w:sz="0" w:space="0" w:color="auto"/>
        <w:right w:val="none" w:sz="0" w:space="0" w:color="auto"/>
      </w:divBdr>
    </w:div>
    <w:div w:id="1187132232">
      <w:bodyDiv w:val="1"/>
      <w:marLeft w:val="0"/>
      <w:marRight w:val="0"/>
      <w:marTop w:val="0"/>
      <w:marBottom w:val="0"/>
      <w:divBdr>
        <w:top w:val="none" w:sz="0" w:space="0" w:color="auto"/>
        <w:left w:val="none" w:sz="0" w:space="0" w:color="auto"/>
        <w:bottom w:val="none" w:sz="0" w:space="0" w:color="auto"/>
        <w:right w:val="none" w:sz="0" w:space="0" w:color="auto"/>
      </w:divBdr>
    </w:div>
    <w:div w:id="1226573712">
      <w:bodyDiv w:val="1"/>
      <w:marLeft w:val="0"/>
      <w:marRight w:val="0"/>
      <w:marTop w:val="0"/>
      <w:marBottom w:val="0"/>
      <w:divBdr>
        <w:top w:val="none" w:sz="0" w:space="0" w:color="auto"/>
        <w:left w:val="none" w:sz="0" w:space="0" w:color="auto"/>
        <w:bottom w:val="none" w:sz="0" w:space="0" w:color="auto"/>
        <w:right w:val="none" w:sz="0" w:space="0" w:color="auto"/>
      </w:divBdr>
    </w:div>
    <w:div w:id="1288970951">
      <w:bodyDiv w:val="1"/>
      <w:marLeft w:val="0"/>
      <w:marRight w:val="0"/>
      <w:marTop w:val="0"/>
      <w:marBottom w:val="0"/>
      <w:divBdr>
        <w:top w:val="none" w:sz="0" w:space="0" w:color="auto"/>
        <w:left w:val="none" w:sz="0" w:space="0" w:color="auto"/>
        <w:bottom w:val="none" w:sz="0" w:space="0" w:color="auto"/>
        <w:right w:val="none" w:sz="0" w:space="0" w:color="auto"/>
      </w:divBdr>
    </w:div>
    <w:div w:id="1310668611">
      <w:bodyDiv w:val="1"/>
      <w:marLeft w:val="0"/>
      <w:marRight w:val="0"/>
      <w:marTop w:val="0"/>
      <w:marBottom w:val="0"/>
      <w:divBdr>
        <w:top w:val="none" w:sz="0" w:space="0" w:color="auto"/>
        <w:left w:val="none" w:sz="0" w:space="0" w:color="auto"/>
        <w:bottom w:val="none" w:sz="0" w:space="0" w:color="auto"/>
        <w:right w:val="none" w:sz="0" w:space="0" w:color="auto"/>
      </w:divBdr>
    </w:div>
    <w:div w:id="1329792696">
      <w:bodyDiv w:val="1"/>
      <w:marLeft w:val="0"/>
      <w:marRight w:val="0"/>
      <w:marTop w:val="0"/>
      <w:marBottom w:val="0"/>
      <w:divBdr>
        <w:top w:val="none" w:sz="0" w:space="0" w:color="auto"/>
        <w:left w:val="none" w:sz="0" w:space="0" w:color="auto"/>
        <w:bottom w:val="none" w:sz="0" w:space="0" w:color="auto"/>
        <w:right w:val="none" w:sz="0" w:space="0" w:color="auto"/>
      </w:divBdr>
    </w:div>
    <w:div w:id="1348798053">
      <w:bodyDiv w:val="1"/>
      <w:marLeft w:val="0"/>
      <w:marRight w:val="0"/>
      <w:marTop w:val="0"/>
      <w:marBottom w:val="0"/>
      <w:divBdr>
        <w:top w:val="none" w:sz="0" w:space="0" w:color="auto"/>
        <w:left w:val="none" w:sz="0" w:space="0" w:color="auto"/>
        <w:bottom w:val="none" w:sz="0" w:space="0" w:color="auto"/>
        <w:right w:val="none" w:sz="0" w:space="0" w:color="auto"/>
      </w:divBdr>
    </w:div>
    <w:div w:id="1371303594">
      <w:bodyDiv w:val="1"/>
      <w:marLeft w:val="0"/>
      <w:marRight w:val="0"/>
      <w:marTop w:val="0"/>
      <w:marBottom w:val="0"/>
      <w:divBdr>
        <w:top w:val="none" w:sz="0" w:space="0" w:color="auto"/>
        <w:left w:val="none" w:sz="0" w:space="0" w:color="auto"/>
        <w:bottom w:val="none" w:sz="0" w:space="0" w:color="auto"/>
        <w:right w:val="none" w:sz="0" w:space="0" w:color="auto"/>
      </w:divBdr>
    </w:div>
    <w:div w:id="1389066835">
      <w:bodyDiv w:val="1"/>
      <w:marLeft w:val="0"/>
      <w:marRight w:val="0"/>
      <w:marTop w:val="0"/>
      <w:marBottom w:val="0"/>
      <w:divBdr>
        <w:top w:val="none" w:sz="0" w:space="0" w:color="auto"/>
        <w:left w:val="none" w:sz="0" w:space="0" w:color="auto"/>
        <w:bottom w:val="none" w:sz="0" w:space="0" w:color="auto"/>
        <w:right w:val="none" w:sz="0" w:space="0" w:color="auto"/>
      </w:divBdr>
    </w:div>
    <w:div w:id="1391810363">
      <w:bodyDiv w:val="1"/>
      <w:marLeft w:val="0"/>
      <w:marRight w:val="0"/>
      <w:marTop w:val="0"/>
      <w:marBottom w:val="0"/>
      <w:divBdr>
        <w:top w:val="none" w:sz="0" w:space="0" w:color="auto"/>
        <w:left w:val="none" w:sz="0" w:space="0" w:color="auto"/>
        <w:bottom w:val="none" w:sz="0" w:space="0" w:color="auto"/>
        <w:right w:val="none" w:sz="0" w:space="0" w:color="auto"/>
      </w:divBdr>
      <w:divsChild>
        <w:div w:id="526870984">
          <w:marLeft w:val="0"/>
          <w:marRight w:val="0"/>
          <w:marTop w:val="0"/>
          <w:marBottom w:val="0"/>
          <w:divBdr>
            <w:top w:val="none" w:sz="0" w:space="0" w:color="auto"/>
            <w:left w:val="none" w:sz="0" w:space="0" w:color="auto"/>
            <w:bottom w:val="none" w:sz="0" w:space="0" w:color="auto"/>
            <w:right w:val="none" w:sz="0" w:space="0" w:color="auto"/>
          </w:divBdr>
        </w:div>
        <w:div w:id="1803111040">
          <w:marLeft w:val="0"/>
          <w:marRight w:val="0"/>
          <w:marTop w:val="0"/>
          <w:marBottom w:val="0"/>
          <w:divBdr>
            <w:top w:val="none" w:sz="0" w:space="0" w:color="auto"/>
            <w:left w:val="none" w:sz="0" w:space="0" w:color="auto"/>
            <w:bottom w:val="none" w:sz="0" w:space="0" w:color="auto"/>
            <w:right w:val="none" w:sz="0" w:space="0" w:color="auto"/>
          </w:divBdr>
        </w:div>
      </w:divsChild>
    </w:div>
    <w:div w:id="1429807870">
      <w:bodyDiv w:val="1"/>
      <w:marLeft w:val="0"/>
      <w:marRight w:val="0"/>
      <w:marTop w:val="0"/>
      <w:marBottom w:val="0"/>
      <w:divBdr>
        <w:top w:val="none" w:sz="0" w:space="0" w:color="auto"/>
        <w:left w:val="none" w:sz="0" w:space="0" w:color="auto"/>
        <w:bottom w:val="none" w:sz="0" w:space="0" w:color="auto"/>
        <w:right w:val="none" w:sz="0" w:space="0" w:color="auto"/>
      </w:divBdr>
    </w:div>
    <w:div w:id="1441609578">
      <w:bodyDiv w:val="1"/>
      <w:marLeft w:val="0"/>
      <w:marRight w:val="0"/>
      <w:marTop w:val="0"/>
      <w:marBottom w:val="0"/>
      <w:divBdr>
        <w:top w:val="none" w:sz="0" w:space="0" w:color="auto"/>
        <w:left w:val="none" w:sz="0" w:space="0" w:color="auto"/>
        <w:bottom w:val="none" w:sz="0" w:space="0" w:color="auto"/>
        <w:right w:val="none" w:sz="0" w:space="0" w:color="auto"/>
      </w:divBdr>
    </w:div>
    <w:div w:id="1511140782">
      <w:bodyDiv w:val="1"/>
      <w:marLeft w:val="0"/>
      <w:marRight w:val="0"/>
      <w:marTop w:val="0"/>
      <w:marBottom w:val="0"/>
      <w:divBdr>
        <w:top w:val="none" w:sz="0" w:space="0" w:color="auto"/>
        <w:left w:val="none" w:sz="0" w:space="0" w:color="auto"/>
        <w:bottom w:val="none" w:sz="0" w:space="0" w:color="auto"/>
        <w:right w:val="none" w:sz="0" w:space="0" w:color="auto"/>
      </w:divBdr>
    </w:div>
    <w:div w:id="1576359792">
      <w:bodyDiv w:val="1"/>
      <w:marLeft w:val="0"/>
      <w:marRight w:val="0"/>
      <w:marTop w:val="0"/>
      <w:marBottom w:val="0"/>
      <w:divBdr>
        <w:top w:val="none" w:sz="0" w:space="0" w:color="auto"/>
        <w:left w:val="none" w:sz="0" w:space="0" w:color="auto"/>
        <w:bottom w:val="none" w:sz="0" w:space="0" w:color="auto"/>
        <w:right w:val="none" w:sz="0" w:space="0" w:color="auto"/>
      </w:divBdr>
    </w:div>
    <w:div w:id="1634142379">
      <w:bodyDiv w:val="1"/>
      <w:marLeft w:val="0"/>
      <w:marRight w:val="0"/>
      <w:marTop w:val="0"/>
      <w:marBottom w:val="0"/>
      <w:divBdr>
        <w:top w:val="none" w:sz="0" w:space="0" w:color="auto"/>
        <w:left w:val="none" w:sz="0" w:space="0" w:color="auto"/>
        <w:bottom w:val="none" w:sz="0" w:space="0" w:color="auto"/>
        <w:right w:val="none" w:sz="0" w:space="0" w:color="auto"/>
      </w:divBdr>
      <w:divsChild>
        <w:div w:id="596988553">
          <w:marLeft w:val="0"/>
          <w:marRight w:val="0"/>
          <w:marTop w:val="0"/>
          <w:marBottom w:val="0"/>
          <w:divBdr>
            <w:top w:val="none" w:sz="0" w:space="0" w:color="auto"/>
            <w:left w:val="none" w:sz="0" w:space="0" w:color="auto"/>
            <w:bottom w:val="none" w:sz="0" w:space="0" w:color="auto"/>
            <w:right w:val="none" w:sz="0" w:space="0" w:color="auto"/>
          </w:divBdr>
          <w:divsChild>
            <w:div w:id="1779447643">
              <w:marLeft w:val="0"/>
              <w:marRight w:val="0"/>
              <w:marTop w:val="0"/>
              <w:marBottom w:val="0"/>
              <w:divBdr>
                <w:top w:val="none" w:sz="0" w:space="0" w:color="auto"/>
                <w:left w:val="none" w:sz="0" w:space="0" w:color="auto"/>
                <w:bottom w:val="none" w:sz="0" w:space="0" w:color="auto"/>
                <w:right w:val="none" w:sz="0" w:space="0" w:color="auto"/>
              </w:divBdr>
              <w:divsChild>
                <w:div w:id="29414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76431">
          <w:marLeft w:val="0"/>
          <w:marRight w:val="0"/>
          <w:marTop w:val="0"/>
          <w:marBottom w:val="0"/>
          <w:divBdr>
            <w:top w:val="none" w:sz="0" w:space="0" w:color="auto"/>
            <w:left w:val="none" w:sz="0" w:space="0" w:color="auto"/>
            <w:bottom w:val="none" w:sz="0" w:space="0" w:color="auto"/>
            <w:right w:val="none" w:sz="0" w:space="0" w:color="auto"/>
          </w:divBdr>
          <w:divsChild>
            <w:div w:id="63188064">
              <w:marLeft w:val="0"/>
              <w:marRight w:val="0"/>
              <w:marTop w:val="0"/>
              <w:marBottom w:val="0"/>
              <w:divBdr>
                <w:top w:val="none" w:sz="0" w:space="0" w:color="auto"/>
                <w:left w:val="none" w:sz="0" w:space="0" w:color="auto"/>
                <w:bottom w:val="none" w:sz="0" w:space="0" w:color="auto"/>
                <w:right w:val="none" w:sz="0" w:space="0" w:color="auto"/>
              </w:divBdr>
              <w:divsChild>
                <w:div w:id="105403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039840">
      <w:bodyDiv w:val="1"/>
      <w:marLeft w:val="0"/>
      <w:marRight w:val="0"/>
      <w:marTop w:val="0"/>
      <w:marBottom w:val="0"/>
      <w:divBdr>
        <w:top w:val="none" w:sz="0" w:space="0" w:color="auto"/>
        <w:left w:val="none" w:sz="0" w:space="0" w:color="auto"/>
        <w:bottom w:val="none" w:sz="0" w:space="0" w:color="auto"/>
        <w:right w:val="none" w:sz="0" w:space="0" w:color="auto"/>
      </w:divBdr>
    </w:div>
    <w:div w:id="1779718122">
      <w:bodyDiv w:val="1"/>
      <w:marLeft w:val="0"/>
      <w:marRight w:val="0"/>
      <w:marTop w:val="0"/>
      <w:marBottom w:val="0"/>
      <w:divBdr>
        <w:top w:val="none" w:sz="0" w:space="0" w:color="auto"/>
        <w:left w:val="none" w:sz="0" w:space="0" w:color="auto"/>
        <w:bottom w:val="none" w:sz="0" w:space="0" w:color="auto"/>
        <w:right w:val="none" w:sz="0" w:space="0" w:color="auto"/>
      </w:divBdr>
    </w:div>
    <w:div w:id="1789281175">
      <w:bodyDiv w:val="1"/>
      <w:marLeft w:val="0"/>
      <w:marRight w:val="0"/>
      <w:marTop w:val="0"/>
      <w:marBottom w:val="0"/>
      <w:divBdr>
        <w:top w:val="none" w:sz="0" w:space="0" w:color="auto"/>
        <w:left w:val="none" w:sz="0" w:space="0" w:color="auto"/>
        <w:bottom w:val="none" w:sz="0" w:space="0" w:color="auto"/>
        <w:right w:val="none" w:sz="0" w:space="0" w:color="auto"/>
      </w:divBdr>
    </w:div>
    <w:div w:id="1847286362">
      <w:bodyDiv w:val="1"/>
      <w:marLeft w:val="0"/>
      <w:marRight w:val="0"/>
      <w:marTop w:val="0"/>
      <w:marBottom w:val="0"/>
      <w:divBdr>
        <w:top w:val="none" w:sz="0" w:space="0" w:color="auto"/>
        <w:left w:val="none" w:sz="0" w:space="0" w:color="auto"/>
        <w:bottom w:val="none" w:sz="0" w:space="0" w:color="auto"/>
        <w:right w:val="none" w:sz="0" w:space="0" w:color="auto"/>
      </w:divBdr>
    </w:div>
    <w:div w:id="1861357470">
      <w:bodyDiv w:val="1"/>
      <w:marLeft w:val="0"/>
      <w:marRight w:val="0"/>
      <w:marTop w:val="0"/>
      <w:marBottom w:val="0"/>
      <w:divBdr>
        <w:top w:val="none" w:sz="0" w:space="0" w:color="auto"/>
        <w:left w:val="none" w:sz="0" w:space="0" w:color="auto"/>
        <w:bottom w:val="none" w:sz="0" w:space="0" w:color="auto"/>
        <w:right w:val="none" w:sz="0" w:space="0" w:color="auto"/>
      </w:divBdr>
    </w:div>
    <w:div w:id="1893419218">
      <w:bodyDiv w:val="1"/>
      <w:marLeft w:val="0"/>
      <w:marRight w:val="0"/>
      <w:marTop w:val="0"/>
      <w:marBottom w:val="0"/>
      <w:divBdr>
        <w:top w:val="none" w:sz="0" w:space="0" w:color="auto"/>
        <w:left w:val="none" w:sz="0" w:space="0" w:color="auto"/>
        <w:bottom w:val="none" w:sz="0" w:space="0" w:color="auto"/>
        <w:right w:val="none" w:sz="0" w:space="0" w:color="auto"/>
      </w:divBdr>
    </w:div>
    <w:div w:id="1988166278">
      <w:bodyDiv w:val="1"/>
      <w:marLeft w:val="0"/>
      <w:marRight w:val="0"/>
      <w:marTop w:val="0"/>
      <w:marBottom w:val="0"/>
      <w:divBdr>
        <w:top w:val="none" w:sz="0" w:space="0" w:color="auto"/>
        <w:left w:val="none" w:sz="0" w:space="0" w:color="auto"/>
        <w:bottom w:val="none" w:sz="0" w:space="0" w:color="auto"/>
        <w:right w:val="none" w:sz="0" w:space="0" w:color="auto"/>
      </w:divBdr>
    </w:div>
    <w:div w:id="1992446713">
      <w:bodyDiv w:val="1"/>
      <w:marLeft w:val="0"/>
      <w:marRight w:val="0"/>
      <w:marTop w:val="0"/>
      <w:marBottom w:val="0"/>
      <w:divBdr>
        <w:top w:val="none" w:sz="0" w:space="0" w:color="auto"/>
        <w:left w:val="none" w:sz="0" w:space="0" w:color="auto"/>
        <w:bottom w:val="none" w:sz="0" w:space="0" w:color="auto"/>
        <w:right w:val="none" w:sz="0" w:space="0" w:color="auto"/>
      </w:divBdr>
    </w:div>
    <w:div w:id="2051493794">
      <w:bodyDiv w:val="1"/>
      <w:marLeft w:val="0"/>
      <w:marRight w:val="0"/>
      <w:marTop w:val="0"/>
      <w:marBottom w:val="0"/>
      <w:divBdr>
        <w:top w:val="none" w:sz="0" w:space="0" w:color="auto"/>
        <w:left w:val="none" w:sz="0" w:space="0" w:color="auto"/>
        <w:bottom w:val="none" w:sz="0" w:space="0" w:color="auto"/>
        <w:right w:val="none" w:sz="0" w:space="0" w:color="auto"/>
      </w:divBdr>
    </w:div>
    <w:div w:id="2052804368">
      <w:bodyDiv w:val="1"/>
      <w:marLeft w:val="0"/>
      <w:marRight w:val="0"/>
      <w:marTop w:val="0"/>
      <w:marBottom w:val="0"/>
      <w:divBdr>
        <w:top w:val="none" w:sz="0" w:space="0" w:color="auto"/>
        <w:left w:val="none" w:sz="0" w:space="0" w:color="auto"/>
        <w:bottom w:val="none" w:sz="0" w:space="0" w:color="auto"/>
        <w:right w:val="none" w:sz="0" w:space="0" w:color="auto"/>
      </w:divBdr>
    </w:div>
    <w:div w:id="2093115321">
      <w:bodyDiv w:val="1"/>
      <w:marLeft w:val="0"/>
      <w:marRight w:val="0"/>
      <w:marTop w:val="0"/>
      <w:marBottom w:val="0"/>
      <w:divBdr>
        <w:top w:val="none" w:sz="0" w:space="0" w:color="auto"/>
        <w:left w:val="none" w:sz="0" w:space="0" w:color="auto"/>
        <w:bottom w:val="none" w:sz="0" w:space="0" w:color="auto"/>
        <w:right w:val="none" w:sz="0" w:space="0" w:color="auto"/>
      </w:divBdr>
    </w:div>
    <w:div w:id="2102412673">
      <w:bodyDiv w:val="1"/>
      <w:marLeft w:val="0"/>
      <w:marRight w:val="0"/>
      <w:marTop w:val="0"/>
      <w:marBottom w:val="0"/>
      <w:divBdr>
        <w:top w:val="none" w:sz="0" w:space="0" w:color="auto"/>
        <w:left w:val="none" w:sz="0" w:space="0" w:color="auto"/>
        <w:bottom w:val="none" w:sz="0" w:space="0" w:color="auto"/>
        <w:right w:val="none" w:sz="0" w:space="0" w:color="auto"/>
      </w:divBdr>
    </w:div>
    <w:div w:id="2104256759">
      <w:bodyDiv w:val="1"/>
      <w:marLeft w:val="0"/>
      <w:marRight w:val="0"/>
      <w:marTop w:val="0"/>
      <w:marBottom w:val="0"/>
      <w:divBdr>
        <w:top w:val="none" w:sz="0" w:space="0" w:color="auto"/>
        <w:left w:val="none" w:sz="0" w:space="0" w:color="auto"/>
        <w:bottom w:val="none" w:sz="0" w:space="0" w:color="auto"/>
        <w:right w:val="none" w:sz="0" w:space="0" w:color="auto"/>
      </w:divBdr>
      <w:divsChild>
        <w:div w:id="640496582">
          <w:marLeft w:val="0"/>
          <w:marRight w:val="0"/>
          <w:marTop w:val="0"/>
          <w:marBottom w:val="0"/>
          <w:divBdr>
            <w:top w:val="none" w:sz="0" w:space="0" w:color="auto"/>
            <w:left w:val="none" w:sz="0" w:space="0" w:color="auto"/>
            <w:bottom w:val="none" w:sz="0" w:space="0" w:color="auto"/>
            <w:right w:val="none" w:sz="0" w:space="0" w:color="auto"/>
          </w:divBdr>
          <w:divsChild>
            <w:div w:id="1387410280">
              <w:marLeft w:val="0"/>
              <w:marRight w:val="0"/>
              <w:marTop w:val="0"/>
              <w:marBottom w:val="0"/>
              <w:divBdr>
                <w:top w:val="none" w:sz="0" w:space="0" w:color="auto"/>
                <w:left w:val="none" w:sz="0" w:space="0" w:color="auto"/>
                <w:bottom w:val="none" w:sz="0" w:space="0" w:color="auto"/>
                <w:right w:val="none" w:sz="0" w:space="0" w:color="auto"/>
              </w:divBdr>
              <w:divsChild>
                <w:div w:id="202816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38218">
          <w:marLeft w:val="0"/>
          <w:marRight w:val="0"/>
          <w:marTop w:val="0"/>
          <w:marBottom w:val="0"/>
          <w:divBdr>
            <w:top w:val="none" w:sz="0" w:space="0" w:color="auto"/>
            <w:left w:val="none" w:sz="0" w:space="0" w:color="auto"/>
            <w:bottom w:val="none" w:sz="0" w:space="0" w:color="auto"/>
            <w:right w:val="none" w:sz="0" w:space="0" w:color="auto"/>
          </w:divBdr>
          <w:divsChild>
            <w:div w:id="1851792592">
              <w:marLeft w:val="0"/>
              <w:marRight w:val="0"/>
              <w:marTop w:val="0"/>
              <w:marBottom w:val="0"/>
              <w:divBdr>
                <w:top w:val="none" w:sz="0" w:space="0" w:color="auto"/>
                <w:left w:val="none" w:sz="0" w:space="0" w:color="auto"/>
                <w:bottom w:val="none" w:sz="0" w:space="0" w:color="auto"/>
                <w:right w:val="none" w:sz="0" w:space="0" w:color="auto"/>
              </w:divBdr>
              <w:divsChild>
                <w:div w:id="13906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308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YQHe0i6DFTQCRdd6xc/vIeTapQ==">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Book</b:SourceType>
    <b:Guid>{339FA24F-26B5-41D3-9763-FEBFB8059502}</b:Guid>
    <b:RefOrder>1</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F1289A-B316-4758-AAE1-10ADB5A52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118</Pages>
  <Words>50236</Words>
  <Characters>286350</Characters>
  <Application>Microsoft Office Word</Application>
  <DocSecurity>0</DocSecurity>
  <Lines>2386</Lines>
  <Paragraphs>671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AUTORITATEA AERONAUTICĂ CIVILĂ</Company>
  <LinksUpToDate>false</LinksUpToDate>
  <CharactersWithSpaces>335915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Gutu</dc:creator>
  <cp:keywords/>
  <dc:description/>
  <cp:lastModifiedBy>Victor Osipenco</cp:lastModifiedBy>
  <cp:revision>1</cp:revision>
  <dcterms:created xsi:type="dcterms:W3CDTF">2026-10-12T10:08:00Z</dcterms:created>
  <dcterms:modified xsi:type="dcterms:W3CDTF">2026-10-15T10:21:00Z</dcterms:modified>
</cp:coreProperties>
</file>